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B2" w:rsidRPr="002D1BB2" w:rsidRDefault="002D1BB2" w:rsidP="002D1BB2">
      <w:pPr>
        <w:spacing w:after="0" w:line="240" w:lineRule="auto"/>
        <w:rPr>
          <w:rFonts w:ascii="Calibri" w:eastAsia="Calibri" w:hAnsi="Calibri" w:cs="Times New Roman"/>
          <w:sz w:val="28"/>
        </w:rPr>
      </w:pPr>
      <w:r w:rsidRPr="002D1BB2">
        <w:rPr>
          <w:rFonts w:ascii="Calibri" w:eastAsia="Calibri" w:hAnsi="Calibri" w:cs="Times New Roman"/>
          <w:noProof/>
          <w:sz w:val="28"/>
        </w:rPr>
        <mc:AlternateContent>
          <mc:Choice Requires="wps">
            <w:drawing>
              <wp:anchor distT="0" distB="0" distL="114300" distR="114300" simplePos="0" relativeHeight="251659264" behindDoc="0" locked="0" layoutInCell="1" allowOverlap="1" wp14:anchorId="6FC41A7A" wp14:editId="5138AA56">
                <wp:simplePos x="0" y="0"/>
                <wp:positionH relativeFrom="column">
                  <wp:posOffset>1173480</wp:posOffset>
                </wp:positionH>
                <wp:positionV relativeFrom="paragraph">
                  <wp:posOffset>-3810</wp:posOffset>
                </wp:positionV>
                <wp:extent cx="4655820" cy="1493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493520"/>
                        </a:xfrm>
                        <a:prstGeom prst="rect">
                          <a:avLst/>
                        </a:prstGeom>
                        <a:gradFill rotWithShape="0">
                          <a:gsLst>
                            <a:gs pos="0">
                              <a:srgbClr val="003300"/>
                            </a:gs>
                            <a:gs pos="50000">
                              <a:srgbClr val="FFFFFF"/>
                            </a:gs>
                            <a:gs pos="100000">
                              <a:srgbClr val="0033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BB2" w:rsidRPr="0017771C" w:rsidRDefault="002D1BB2" w:rsidP="002D1BB2">
                            <w:pPr>
                              <w:pStyle w:val="Heading1"/>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4pt;margin-top:-.3pt;width:366.6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" fillcolor="#030" stroked="f">
                <v:fill focus="50%" type="gradient"/>
                <v:textbox>
                  <w:txbxContent>
                    <w:p w:rsidR="002D1BB2" w:rsidRPr="0017771C" w:rsidRDefault="002D1BB2" w:rsidP="002D1BB2">
                      <w:pPr>
                        <w:pStyle w:val="Heading1"/>
                        <w:jc w:val="center"/>
                        <w:rPr>
                          <w:color w:val="auto"/>
                          <w:sz w:val="52"/>
                          <w14:shadow w14:blurRad="50800" w14:dist="38100" w14:dir="2700000" w14:sx="100000" w14:sy="100000" w14:kx="0" w14:ky="0" w14:algn="tl">
                            <w14:srgbClr w14:val="000000">
                              <w14:alpha w14:val="60000"/>
                            </w14:srgbClr>
                          </w14:shadow>
                        </w:rPr>
                      </w:pPr>
                      <w:r w:rsidRPr="0017771C">
                        <w:rPr>
                          <w:color w:val="auto"/>
                          <w:sz w:val="52"/>
                          <w14:shadow w14:blurRad="50800" w14:dist="38100" w14:dir="2700000" w14:sx="100000" w14:sy="100000" w14:kx="0" w14:ky="0" w14:algn="tl">
                            <w14:srgbClr w14:val="000000">
                              <w14:alpha w14:val="60000"/>
                            </w14:srgbClr>
                          </w14:shadow>
                        </w:rPr>
                        <w:t>Colorado Directors of Environmental Health</w:t>
                      </w:r>
                    </w:p>
                  </w:txbxContent>
                </v:textbox>
              </v:shape>
            </w:pict>
          </mc:Fallback>
        </mc:AlternateContent>
      </w:r>
      <w:r w:rsidRPr="002D1BB2">
        <w:rPr>
          <w:rFonts w:ascii="Calibri" w:eastAsia="Calibri" w:hAnsi="Calibri" w:cs="Times New Roman"/>
          <w:noProof/>
          <w:sz w:val="28"/>
        </w:rPr>
        <w:drawing>
          <wp:inline distT="0" distB="0" distL="0" distR="0" wp14:anchorId="05EB945D" wp14:editId="39A77593">
            <wp:extent cx="1234440" cy="1493520"/>
            <wp:effectExtent l="0" t="0" r="3810" b="0"/>
            <wp:docPr id="1" name="Picture 1" descr="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r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493520"/>
                    </a:xfrm>
                    <a:prstGeom prst="rect">
                      <a:avLst/>
                    </a:prstGeom>
                    <a:noFill/>
                    <a:ln>
                      <a:noFill/>
                    </a:ln>
                  </pic:spPr>
                </pic:pic>
              </a:graphicData>
            </a:graphic>
          </wp:inline>
        </w:drawing>
      </w:r>
    </w:p>
    <w:p w:rsidR="002D1BB2" w:rsidRPr="002D1BB2" w:rsidRDefault="002D1BB2" w:rsidP="002D1BB2">
      <w:pPr>
        <w:spacing w:after="0" w:line="240" w:lineRule="auto"/>
        <w:rPr>
          <w:rFonts w:ascii="Calibri" w:eastAsia="Calibri" w:hAnsi="Calibri" w:cs="Times New Roman"/>
          <w:sz w:val="28"/>
        </w:rPr>
      </w:pPr>
    </w:p>
    <w:p w:rsidR="002D1BB2" w:rsidRPr="002D1BB2" w:rsidRDefault="002D1BB2" w:rsidP="000A53E5">
      <w:pPr>
        <w:spacing w:after="0" w:line="240" w:lineRule="auto"/>
        <w:jc w:val="center"/>
        <w:rPr>
          <w:rFonts w:ascii="Calibri" w:eastAsia="Calibri" w:hAnsi="Calibri" w:cs="Times New Roman"/>
          <w:b/>
          <w:sz w:val="32"/>
          <w:szCs w:val="32"/>
        </w:rPr>
      </w:pPr>
      <w:r w:rsidRPr="002D1BB2">
        <w:rPr>
          <w:rFonts w:ascii="Calibri" w:eastAsia="Calibri" w:hAnsi="Calibri" w:cs="Times New Roman"/>
          <w:b/>
          <w:sz w:val="32"/>
          <w:szCs w:val="32"/>
        </w:rPr>
        <w:t>Colorado Swimming Pool and Mineral Bath Regulations Revision</w:t>
      </w:r>
    </w:p>
    <w:p w:rsidR="002D1BB2" w:rsidRPr="002D1BB2" w:rsidRDefault="000A53E5" w:rsidP="000A53E5">
      <w:pPr>
        <w:spacing w:after="0" w:line="240" w:lineRule="auto"/>
        <w:jc w:val="center"/>
        <w:rPr>
          <w:rFonts w:ascii="Calibri" w:eastAsia="Calibri" w:hAnsi="Calibri" w:cs="Times New Roman"/>
          <w:b/>
          <w:sz w:val="32"/>
          <w:szCs w:val="32"/>
        </w:rPr>
      </w:pPr>
      <w:r>
        <w:rPr>
          <w:rFonts w:ascii="Calibri" w:eastAsia="Calibri" w:hAnsi="Calibri" w:cs="Times New Roman"/>
          <w:b/>
          <w:sz w:val="32"/>
          <w:szCs w:val="32"/>
        </w:rPr>
        <w:t>Work Group meeting</w:t>
      </w:r>
      <w:r w:rsidR="002D1BB2" w:rsidRPr="002D1BB2">
        <w:rPr>
          <w:rFonts w:ascii="Calibri" w:eastAsia="Calibri" w:hAnsi="Calibri" w:cs="Times New Roman"/>
          <w:b/>
          <w:sz w:val="32"/>
          <w:szCs w:val="32"/>
        </w:rPr>
        <w:t xml:space="preserve"> </w:t>
      </w:r>
      <w:r w:rsidR="002D1BB2">
        <w:rPr>
          <w:rFonts w:ascii="Calibri" w:eastAsia="Calibri" w:hAnsi="Calibri" w:cs="Times New Roman"/>
          <w:b/>
          <w:sz w:val="32"/>
          <w:szCs w:val="32"/>
        </w:rPr>
        <w:t>June 3</w:t>
      </w:r>
      <w:r w:rsidR="002D1BB2" w:rsidRPr="002D1BB2">
        <w:rPr>
          <w:rFonts w:ascii="Calibri" w:eastAsia="Calibri" w:hAnsi="Calibri" w:cs="Times New Roman"/>
          <w:b/>
          <w:sz w:val="32"/>
          <w:szCs w:val="32"/>
        </w:rPr>
        <w:t>, 2016</w:t>
      </w:r>
    </w:p>
    <w:p w:rsidR="002D1BB2" w:rsidRPr="002D1BB2" w:rsidRDefault="002D1BB2" w:rsidP="002D1BB2">
      <w:pPr>
        <w:spacing w:after="0"/>
        <w:rPr>
          <w:rFonts w:ascii="Calibri" w:eastAsia="Calibri" w:hAnsi="Calibri" w:cs="Times New Roman"/>
          <w:sz w:val="28"/>
        </w:rPr>
      </w:pPr>
    </w:p>
    <w:p w:rsidR="002D1BB2" w:rsidRPr="002D1BB2" w:rsidRDefault="002D1BB2" w:rsidP="002D1BB2">
      <w:pPr>
        <w:spacing w:after="0"/>
        <w:rPr>
          <w:rFonts w:eastAsia="Calibri" w:cs="Times New Roman"/>
        </w:rPr>
      </w:pPr>
      <w:proofErr w:type="gramStart"/>
      <w:r w:rsidRPr="002D1BB2">
        <w:rPr>
          <w:rFonts w:eastAsia="Calibri" w:cs="Times New Roman"/>
        </w:rPr>
        <w:t xml:space="preserve">Conference call from 1:00 – </w:t>
      </w:r>
      <w:r>
        <w:rPr>
          <w:rFonts w:eastAsia="Calibri" w:cs="Times New Roman"/>
        </w:rPr>
        <w:t>2</w:t>
      </w:r>
      <w:r w:rsidRPr="002D1BB2">
        <w:rPr>
          <w:rFonts w:eastAsia="Calibri" w:cs="Times New Roman"/>
        </w:rPr>
        <w:t xml:space="preserve">:00 </w:t>
      </w:r>
      <w:r>
        <w:rPr>
          <w:rFonts w:eastAsia="Calibri" w:cs="Times New Roman"/>
        </w:rPr>
        <w:t>p</w:t>
      </w:r>
      <w:r w:rsidRPr="002D1BB2">
        <w:rPr>
          <w:rFonts w:eastAsia="Calibri" w:cs="Times New Roman"/>
        </w:rPr>
        <w:t>m.</w:t>
      </w:r>
      <w:proofErr w:type="gramEnd"/>
      <w:r w:rsidRPr="002D1BB2">
        <w:rPr>
          <w:rFonts w:eastAsia="Calibri" w:cs="Times New Roman"/>
        </w:rPr>
        <w:t xml:space="preserve">  Susan Wichmann, Jeff Lawrence </w:t>
      </w:r>
      <w:r>
        <w:rPr>
          <w:rFonts w:eastAsia="Calibri" w:cs="Times New Roman"/>
        </w:rPr>
        <w:t>Steve Chavalier</w:t>
      </w:r>
      <w:r w:rsidRPr="002D1BB2">
        <w:rPr>
          <w:rFonts w:eastAsia="Calibri" w:cs="Times New Roman"/>
        </w:rPr>
        <w:t xml:space="preserve"> on the phone and Jim Rada and Craig Sanders hosted the call through JCPH </w:t>
      </w:r>
      <w:proofErr w:type="spellStart"/>
      <w:r w:rsidRPr="002D1BB2">
        <w:rPr>
          <w:rFonts w:eastAsia="Calibri" w:cs="Times New Roman"/>
        </w:rPr>
        <w:t>Webex</w:t>
      </w:r>
      <w:proofErr w:type="spellEnd"/>
      <w:r w:rsidRPr="002D1BB2">
        <w:rPr>
          <w:rFonts w:eastAsia="Calibri" w:cs="Times New Roman"/>
        </w:rPr>
        <w:t xml:space="preserve">.  </w:t>
      </w:r>
    </w:p>
    <w:p w:rsidR="002D1BB2" w:rsidRPr="002D1BB2" w:rsidRDefault="002D1BB2" w:rsidP="002D1BB2">
      <w:pPr>
        <w:spacing w:after="0" w:line="240" w:lineRule="auto"/>
        <w:rPr>
          <w:rFonts w:ascii="Calibri" w:eastAsia="Calibri" w:hAnsi="Calibri" w:cs="Times New Roman"/>
          <w:sz w:val="28"/>
        </w:rPr>
      </w:pPr>
    </w:p>
    <w:p w:rsidR="002D1BB2" w:rsidRDefault="002D1BB2" w:rsidP="002D1BB2">
      <w:pPr>
        <w:rPr>
          <w:b/>
          <w:sz w:val="32"/>
          <w:szCs w:val="32"/>
        </w:rPr>
      </w:pPr>
      <w:r w:rsidRPr="002D1BB2">
        <w:rPr>
          <w:b/>
          <w:sz w:val="32"/>
          <w:szCs w:val="32"/>
        </w:rPr>
        <w:t>D</w:t>
      </w:r>
      <w:r>
        <w:rPr>
          <w:b/>
          <w:sz w:val="32"/>
          <w:szCs w:val="32"/>
        </w:rPr>
        <w:t>ebrief</w:t>
      </w:r>
      <w:r w:rsidRPr="002D1BB2">
        <w:rPr>
          <w:b/>
          <w:sz w:val="32"/>
          <w:szCs w:val="32"/>
        </w:rPr>
        <w:t xml:space="preserve"> webinar</w:t>
      </w:r>
      <w:r>
        <w:rPr>
          <w:b/>
          <w:sz w:val="32"/>
          <w:szCs w:val="32"/>
        </w:rPr>
        <w:t xml:space="preserve">, discuss online polling and post webinar survey data </w:t>
      </w:r>
      <w:r w:rsidRPr="002D1BB2">
        <w:rPr>
          <w:b/>
          <w:sz w:val="32"/>
          <w:szCs w:val="32"/>
        </w:rPr>
        <w:t xml:space="preserve">– </w:t>
      </w:r>
      <w:r>
        <w:rPr>
          <w:b/>
          <w:sz w:val="32"/>
          <w:szCs w:val="32"/>
        </w:rPr>
        <w:t xml:space="preserve">Jim  </w:t>
      </w:r>
    </w:p>
    <w:p w:rsidR="002D1BB2" w:rsidRPr="002D1BB2" w:rsidRDefault="002D1BB2" w:rsidP="002D1BB2">
      <w:r w:rsidRPr="000A53E5">
        <w:t xml:space="preserve">Jim walked through the data with the group.  He noted that the online polling questions showed a good representation from both government and industry on the webinar, and more </w:t>
      </w:r>
      <w:r w:rsidR="00883F48">
        <w:t>industry participation on the pa</w:t>
      </w:r>
      <w:r w:rsidRPr="000A53E5">
        <w:t xml:space="preserve">st webinar survey.  Both surveys indicated that the participants were somewhat or very familiar with the MAHC and both also indicated solid interest in advancing an initiative.  The post survey seemed to reveal some hesitation regarding willingness to participate in a stakeholder process but appeared to </w:t>
      </w:r>
      <w:r w:rsidR="00A94DDC" w:rsidRPr="000A53E5">
        <w:t xml:space="preserve">keep the door open depending on how the process develops.  19 people left contact information on the survey so we know that there are some that we can initially recruit to participate in the process design. The post survey also revealed that over 90% of the have a favorable or neutral impression of the MAHC with almost 50% indicating that they have only a somewhat favorable impression of the MAHC which seems to imply that there may be concerns about the size of the MAHC, the contents of the MAHC or something else.  One of the additional </w:t>
      </w:r>
      <w:r w:rsidR="00883F48">
        <w:t>c</w:t>
      </w:r>
      <w:r w:rsidR="00A94DDC" w:rsidRPr="000A53E5">
        <w:t xml:space="preserve">omments spoke in great length to taking caution if considering adopting the MAHC in its entirety.  This individual raised concerns about the potential need for grandfathering, particularly for older pools.  They also raised a desire to see apartment, condo and similar pools that are now considered private added to the regulatory picture in some way. There were also several other issues </w:t>
      </w:r>
      <w:r w:rsidR="000A53E5" w:rsidRPr="000A53E5">
        <w:t xml:space="preserve">were </w:t>
      </w:r>
      <w:r w:rsidR="00A94DDC" w:rsidRPr="000A53E5">
        <w:t>raised.</w:t>
      </w:r>
    </w:p>
    <w:p w:rsidR="002D1BB2" w:rsidRPr="002D1BB2" w:rsidRDefault="002D1BB2" w:rsidP="002D1BB2">
      <w:pPr>
        <w:rPr>
          <w:b/>
          <w:sz w:val="32"/>
          <w:szCs w:val="32"/>
        </w:rPr>
      </w:pPr>
      <w:r w:rsidRPr="002D1BB2">
        <w:rPr>
          <w:b/>
          <w:sz w:val="32"/>
          <w:szCs w:val="32"/>
        </w:rPr>
        <w:t xml:space="preserve">Discuss </w:t>
      </w:r>
      <w:r>
        <w:rPr>
          <w:b/>
          <w:sz w:val="32"/>
          <w:szCs w:val="32"/>
        </w:rPr>
        <w:t>next steps</w:t>
      </w:r>
      <w:r w:rsidRPr="002D1BB2">
        <w:rPr>
          <w:b/>
          <w:sz w:val="32"/>
          <w:szCs w:val="32"/>
        </w:rPr>
        <w:t xml:space="preserve"> – Jim w/all</w:t>
      </w:r>
    </w:p>
    <w:p w:rsidR="00194E0A" w:rsidRDefault="000A53E5" w:rsidP="002D1BB2">
      <w:r w:rsidRPr="002D1BB2">
        <w:t xml:space="preserve">Jim </w:t>
      </w:r>
      <w:r>
        <w:t xml:space="preserve">suggested that the last comments from the post survey along with the data indicating that awareness or detailed knowledge of the MAHC may be lacking seem to point to the need for our group to work next on doing some targeted direct communication with those that offered their contact information along with perhaps some leaders in the aquatics industry from various sectors and from all over the state (i.e. large aquatic venue operators like Water World, hot springs operators, parks and rec </w:t>
      </w:r>
      <w:r>
        <w:lastRenderedPageBreak/>
        <w:t xml:space="preserve">association leaders, insurance representatives, HOA and property management groups, etc.).  We talked about pulling together a brief information piece that could be distributed or used for talking points during direct contacts.  </w:t>
      </w:r>
    </w:p>
    <w:p w:rsidR="002D1BB2" w:rsidRDefault="000A53E5" w:rsidP="002D1BB2">
      <w:r>
        <w:t xml:space="preserve">We also discussed the </w:t>
      </w:r>
      <w:r w:rsidR="00194E0A">
        <w:t>possibility</w:t>
      </w:r>
      <w:r>
        <w:t xml:space="preserve"> of working with the </w:t>
      </w:r>
      <w:r w:rsidR="00194E0A">
        <w:t>various</w:t>
      </w:r>
      <w:r>
        <w:t xml:space="preserve"> sector </w:t>
      </w:r>
      <w:r w:rsidR="00194E0A">
        <w:t>representatives</w:t>
      </w:r>
      <w:r>
        <w:t xml:space="preserve"> to develop MAHC workshops or seminars over the </w:t>
      </w:r>
      <w:r w:rsidR="00194E0A">
        <w:t>next</w:t>
      </w:r>
      <w:r>
        <w:t xml:space="preserve"> 6-12 </w:t>
      </w:r>
      <w:r w:rsidR="00194E0A">
        <w:t>months</w:t>
      </w:r>
      <w:r>
        <w:t xml:space="preserve"> to raise awareness and knowledge about the MAHC in advance of</w:t>
      </w:r>
      <w:r w:rsidR="00194E0A">
        <w:t xml:space="preserve"> entering a reg development process. Jeff suggested that in the course of moving to legislation and/or regulation processes, that we make sure that Pat Pfaltzgraf is included in the dialogue.  </w:t>
      </w:r>
    </w:p>
    <w:p w:rsidR="00194E0A" w:rsidRDefault="00194E0A" w:rsidP="002D1BB2">
      <w:r>
        <w:t>We also talked about the need to begin the process of planning for legislation development.  Jim mentioned that he had already requested that this effort be added to the CALPHO Policy Committee agenda for discussion.  It will also be important for us to begin identifying allies both in industry and in the legislature so that we can develop strong support for a bill in advance of the legislative session.</w:t>
      </w:r>
    </w:p>
    <w:p w:rsidR="00194E0A" w:rsidRPr="002D1BB2" w:rsidRDefault="00194E0A" w:rsidP="002D1BB2">
      <w:r>
        <w:t>Finally, we discuss the development of a tentative calendar including appropriate process notes so that we can begin to develop action steps and plans.</w:t>
      </w:r>
    </w:p>
    <w:p w:rsidR="002D1BB2" w:rsidRDefault="00194E0A" w:rsidP="002D1BB2">
      <w:r>
        <w:t>Very loosely, a tentative calendar is listed below:</w:t>
      </w:r>
    </w:p>
    <w:p w:rsidR="00EF405F" w:rsidRDefault="00194E0A" w:rsidP="00883F48">
      <w:pPr>
        <w:spacing w:after="0" w:line="240" w:lineRule="auto"/>
      </w:pPr>
      <w:r>
        <w:t>June-September 2016</w:t>
      </w:r>
      <w:r w:rsidR="00EF405F" w:rsidRPr="00EF405F">
        <w:t xml:space="preserve"> </w:t>
      </w:r>
    </w:p>
    <w:p w:rsidR="00EF405F" w:rsidRDefault="00EF405F" w:rsidP="00883F48">
      <w:pPr>
        <w:spacing w:after="0" w:line="240" w:lineRule="auto"/>
        <w:ind w:firstLine="720"/>
      </w:pPr>
      <w:r>
        <w:t>Develop information piece on our effort</w:t>
      </w:r>
    </w:p>
    <w:p w:rsidR="00EF405F" w:rsidRDefault="00EF405F" w:rsidP="00883F48">
      <w:pPr>
        <w:spacing w:after="0" w:line="240" w:lineRule="auto"/>
      </w:pPr>
      <w:r>
        <w:tab/>
        <w:t>Call as many influential industry and government reps as possible to share the ideas</w:t>
      </w:r>
    </w:p>
    <w:p w:rsidR="00EF405F" w:rsidRDefault="00EF405F" w:rsidP="00883F48">
      <w:pPr>
        <w:spacing w:after="0" w:line="240" w:lineRule="auto"/>
      </w:pPr>
      <w:r>
        <w:tab/>
        <w:t>Develop a stakeholder/active participant roster</w:t>
      </w:r>
    </w:p>
    <w:p w:rsidR="00194E0A" w:rsidRDefault="00EF405F" w:rsidP="00883F48">
      <w:pPr>
        <w:spacing w:after="0" w:line="240" w:lineRule="auto"/>
      </w:pPr>
      <w:r>
        <w:tab/>
        <w:t>Begin developing legislation</w:t>
      </w:r>
      <w:r w:rsidR="008C7EAC">
        <w:t xml:space="preserve"> strategy</w:t>
      </w:r>
      <w:r>
        <w:t>/identifying</w:t>
      </w:r>
      <w:r w:rsidR="008C7EAC">
        <w:t xml:space="preserve"> </w:t>
      </w:r>
      <w:r>
        <w:t>support</w:t>
      </w:r>
    </w:p>
    <w:p w:rsidR="00194E0A" w:rsidRDefault="00194E0A" w:rsidP="00883F48">
      <w:pPr>
        <w:spacing w:after="0" w:line="240" w:lineRule="auto"/>
      </w:pPr>
      <w:r>
        <w:t>September 2016 – June 2017</w:t>
      </w:r>
    </w:p>
    <w:p w:rsidR="00194E0A" w:rsidRDefault="00194E0A" w:rsidP="00883F48">
      <w:pPr>
        <w:spacing w:after="0" w:line="240" w:lineRule="auto"/>
      </w:pPr>
      <w:r>
        <w:tab/>
      </w:r>
      <w:r w:rsidR="00883F48">
        <w:t>Plan and conduct</w:t>
      </w:r>
      <w:r>
        <w:t xml:space="preserve"> a series of workshops/seminars regarding the MAHC</w:t>
      </w:r>
    </w:p>
    <w:p w:rsidR="00194E0A" w:rsidRDefault="00194E0A" w:rsidP="00883F48">
      <w:pPr>
        <w:spacing w:after="0" w:line="240" w:lineRule="auto"/>
      </w:pPr>
      <w:r>
        <w:tab/>
        <w:t>Enlist NSPF and NACCHO and industry partners to</w:t>
      </w:r>
      <w:r w:rsidR="00883F48">
        <w:t xml:space="preserve"> help </w:t>
      </w:r>
      <w:r>
        <w:t>organize, support, sponsor, etc.</w:t>
      </w:r>
    </w:p>
    <w:p w:rsidR="00EF405F" w:rsidRDefault="00EF405F" w:rsidP="00883F48">
      <w:pPr>
        <w:spacing w:after="0" w:line="240" w:lineRule="auto"/>
        <w:ind w:firstLine="720"/>
      </w:pPr>
      <w:r>
        <w:t>Begin to design stakeholder process</w:t>
      </w:r>
    </w:p>
    <w:p w:rsidR="00EF405F" w:rsidRDefault="00EF405F" w:rsidP="00883F48">
      <w:pPr>
        <w:spacing w:after="0" w:line="240" w:lineRule="auto"/>
      </w:pPr>
      <w:r>
        <w:tab/>
        <w:t>Keep WQCD informed</w:t>
      </w:r>
    </w:p>
    <w:p w:rsidR="00EF405F" w:rsidRDefault="00EF405F" w:rsidP="00883F48">
      <w:pPr>
        <w:spacing w:after="0" w:line="240" w:lineRule="auto"/>
      </w:pPr>
      <w:r>
        <w:t>January 2017 – May 2017</w:t>
      </w:r>
      <w:r>
        <w:tab/>
      </w:r>
    </w:p>
    <w:p w:rsidR="00EF405F" w:rsidRDefault="00EF405F" w:rsidP="00883F48">
      <w:pPr>
        <w:spacing w:after="0" w:line="240" w:lineRule="auto"/>
      </w:pPr>
      <w:r>
        <w:tab/>
        <w:t>Carry out legislative process/get legislation passed</w:t>
      </w:r>
    </w:p>
    <w:p w:rsidR="00883F48" w:rsidRDefault="00883F48" w:rsidP="00883F48">
      <w:pPr>
        <w:spacing w:after="0" w:line="240" w:lineRule="auto"/>
      </w:pPr>
      <w:r>
        <w:t>May 2017 – March 2018</w:t>
      </w:r>
    </w:p>
    <w:p w:rsidR="00883F48" w:rsidRDefault="00883F48" w:rsidP="00883F48">
      <w:pPr>
        <w:spacing w:after="0" w:line="240" w:lineRule="auto"/>
      </w:pPr>
      <w:r>
        <w:tab/>
        <w:t>Draft new Colorado Aquatic Venue regulations through well-coordinated stakeholder process.</w:t>
      </w:r>
    </w:p>
    <w:p w:rsidR="00883F48" w:rsidRDefault="00883F48" w:rsidP="00883F48">
      <w:pPr>
        <w:spacing w:after="0" w:line="240" w:lineRule="auto"/>
      </w:pPr>
      <w:r>
        <w:t xml:space="preserve">October 2017 – </w:t>
      </w:r>
    </w:p>
    <w:p w:rsidR="00883F48" w:rsidRDefault="00883F48" w:rsidP="00883F48">
      <w:pPr>
        <w:spacing w:after="0" w:line="240" w:lineRule="auto"/>
      </w:pPr>
      <w:r>
        <w:tab/>
        <w:t>Request for rulemaking before the Colorado State Board of Health</w:t>
      </w:r>
    </w:p>
    <w:p w:rsidR="00883F48" w:rsidRDefault="00883F48" w:rsidP="00883F48">
      <w:pPr>
        <w:spacing w:after="0" w:line="240" w:lineRule="auto"/>
      </w:pPr>
      <w:r>
        <w:t xml:space="preserve">March 2018 – </w:t>
      </w:r>
    </w:p>
    <w:p w:rsidR="00EF405F" w:rsidRDefault="00883F48" w:rsidP="00883F48">
      <w:pPr>
        <w:spacing w:after="0" w:line="240" w:lineRule="auto"/>
      </w:pPr>
      <w:r>
        <w:tab/>
        <w:t>Board of Health Rulemaking hearing</w:t>
      </w:r>
      <w:r w:rsidR="00EF405F">
        <w:tab/>
      </w:r>
    </w:p>
    <w:p w:rsidR="00883F48" w:rsidRDefault="00883F48" w:rsidP="00883F48">
      <w:pPr>
        <w:spacing w:after="0"/>
      </w:pPr>
      <w:r>
        <w:t xml:space="preserve">June 2018 – </w:t>
      </w:r>
      <w:bookmarkStart w:id="0" w:name="_GoBack"/>
      <w:bookmarkEnd w:id="0"/>
    </w:p>
    <w:p w:rsidR="00883F48" w:rsidRDefault="00883F48" w:rsidP="00883F48">
      <w:pPr>
        <w:spacing w:after="0"/>
        <w:ind w:firstLine="720"/>
      </w:pPr>
      <w:r>
        <w:t>Effective Date of new rules</w:t>
      </w:r>
    </w:p>
    <w:p w:rsidR="00194E0A" w:rsidRPr="002D1BB2" w:rsidRDefault="00194E0A" w:rsidP="002D1BB2"/>
    <w:p w:rsidR="00A558B5" w:rsidRDefault="00A558B5"/>
    <w:sectPr w:rsidR="00A5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120"/>
    <w:multiLevelType w:val="hybridMultilevel"/>
    <w:tmpl w:val="CEC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1211"/>
    <w:multiLevelType w:val="hybridMultilevel"/>
    <w:tmpl w:val="9B5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A1D2C"/>
    <w:multiLevelType w:val="hybridMultilevel"/>
    <w:tmpl w:val="CC78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B2"/>
    <w:rsid w:val="000A53E5"/>
    <w:rsid w:val="00194E0A"/>
    <w:rsid w:val="002D1BB2"/>
    <w:rsid w:val="002F6E41"/>
    <w:rsid w:val="00883F48"/>
    <w:rsid w:val="008C7EAC"/>
    <w:rsid w:val="00A558B5"/>
    <w:rsid w:val="00A94DDC"/>
    <w:rsid w:val="00E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B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1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BB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D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JCPH</dc:creator>
  <cp:lastModifiedBy>JCPH</cp:lastModifiedBy>
  <cp:revision>2</cp:revision>
  <dcterms:created xsi:type="dcterms:W3CDTF">2016-06-03T22:09:00Z</dcterms:created>
  <dcterms:modified xsi:type="dcterms:W3CDTF">2016-06-06T19:41:00Z</dcterms:modified>
</cp:coreProperties>
</file>