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2BD04" w14:textId="55F31CBF" w:rsidR="00610557" w:rsidRPr="00294F59" w:rsidRDefault="00610557" w:rsidP="0058464A">
      <w:pPr>
        <w:pStyle w:val="NoSpacing"/>
        <w:jc w:val="center"/>
        <w:rPr>
          <w:rFonts w:asciiTheme="minorHAnsi" w:hAnsiTheme="minorHAnsi" w:cs="Calibri"/>
          <w:b/>
          <w:sz w:val="28"/>
          <w:szCs w:val="28"/>
        </w:rPr>
      </w:pPr>
      <w:r w:rsidRPr="00294F59">
        <w:rPr>
          <w:rFonts w:asciiTheme="minorHAnsi" w:hAnsiTheme="minorHAnsi" w:cs="Calibri"/>
          <w:b/>
          <w:sz w:val="28"/>
          <w:szCs w:val="28"/>
        </w:rPr>
        <w:t xml:space="preserve">NACCHO </w:t>
      </w:r>
      <w:r w:rsidR="008D7530" w:rsidRPr="00294F59">
        <w:rPr>
          <w:rFonts w:asciiTheme="minorHAnsi" w:hAnsiTheme="minorHAnsi" w:cs="Calibri"/>
          <w:b/>
          <w:sz w:val="28"/>
          <w:szCs w:val="28"/>
        </w:rPr>
        <w:t>Capitol Hill Visits</w:t>
      </w:r>
      <w:r w:rsidRPr="00294F59">
        <w:rPr>
          <w:rFonts w:asciiTheme="minorHAnsi" w:hAnsiTheme="minorHAnsi" w:cs="Calibri"/>
          <w:b/>
          <w:sz w:val="28"/>
          <w:szCs w:val="28"/>
        </w:rPr>
        <w:t xml:space="preserve"> </w:t>
      </w:r>
      <w:r w:rsidR="003E15CD">
        <w:rPr>
          <w:rFonts w:asciiTheme="minorHAnsi" w:hAnsiTheme="minorHAnsi" w:cs="Calibri"/>
          <w:b/>
          <w:sz w:val="28"/>
          <w:szCs w:val="28"/>
        </w:rPr>
        <w:t xml:space="preserve">| </w:t>
      </w:r>
      <w:r w:rsidR="008003AB">
        <w:rPr>
          <w:rFonts w:asciiTheme="minorHAnsi" w:hAnsiTheme="minorHAnsi" w:cs="Calibri"/>
          <w:b/>
          <w:sz w:val="28"/>
          <w:szCs w:val="28"/>
        </w:rPr>
        <w:t>2017</w:t>
      </w:r>
    </w:p>
    <w:p w14:paraId="78DA493F" w14:textId="77777777" w:rsidR="00091D18" w:rsidRPr="00294F59" w:rsidRDefault="00091D18" w:rsidP="00A05564">
      <w:pPr>
        <w:pStyle w:val="NoSpacing"/>
        <w:jc w:val="center"/>
        <w:rPr>
          <w:rFonts w:asciiTheme="minorHAnsi" w:hAnsiTheme="minorHAnsi" w:cs="Calibri"/>
          <w:b/>
          <w:sz w:val="28"/>
          <w:szCs w:val="28"/>
        </w:rPr>
      </w:pPr>
      <w:r w:rsidRPr="00294F59">
        <w:rPr>
          <w:rFonts w:asciiTheme="minorHAnsi" w:hAnsiTheme="minorHAnsi" w:cs="Calibri"/>
          <w:b/>
          <w:sz w:val="28"/>
          <w:szCs w:val="28"/>
        </w:rPr>
        <w:t>Talking points</w:t>
      </w:r>
      <w:r w:rsidR="003D1BD7" w:rsidRPr="00294F59">
        <w:rPr>
          <w:rFonts w:asciiTheme="minorHAnsi" w:hAnsiTheme="minorHAnsi" w:cs="Calibri"/>
          <w:b/>
          <w:sz w:val="28"/>
          <w:szCs w:val="28"/>
        </w:rPr>
        <w:t xml:space="preserve"> </w:t>
      </w:r>
    </w:p>
    <w:p w14:paraId="6938ED65" w14:textId="0344BE39" w:rsidR="0058464A" w:rsidRPr="00294F59" w:rsidRDefault="00404FC5" w:rsidP="00A05564">
      <w:pPr>
        <w:pStyle w:val="NoSpacing"/>
        <w:jc w:val="center"/>
        <w:rPr>
          <w:rFonts w:asciiTheme="minorHAnsi" w:hAnsiTheme="minorHAnsi" w:cs="Calibri"/>
          <w:sz w:val="16"/>
          <w:szCs w:val="16"/>
          <w:u w:val="single"/>
        </w:rPr>
      </w:pPr>
      <w:r w:rsidRPr="00294F59">
        <w:rPr>
          <w:rFonts w:asciiTheme="minorHAnsi" w:hAnsiTheme="minorHAnsi" w:cs="Calibri"/>
          <w:b/>
          <w:noProof/>
          <w:sz w:val="24"/>
          <w:szCs w:val="24"/>
        </w:rPr>
        <mc:AlternateContent>
          <mc:Choice Requires="wps">
            <w:drawing>
              <wp:anchor distT="0" distB="0" distL="114300" distR="114300" simplePos="0" relativeHeight="251659264" behindDoc="0" locked="0" layoutInCell="1" allowOverlap="1" wp14:anchorId="40A31A62" wp14:editId="119AD160">
                <wp:simplePos x="0" y="0"/>
                <wp:positionH relativeFrom="margin">
                  <wp:posOffset>266700</wp:posOffset>
                </wp:positionH>
                <wp:positionV relativeFrom="paragraph">
                  <wp:posOffset>38100</wp:posOffset>
                </wp:positionV>
                <wp:extent cx="6248400" cy="1403985"/>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3985"/>
                        </a:xfrm>
                        <a:prstGeom prst="rect">
                          <a:avLst/>
                        </a:prstGeom>
                        <a:solidFill>
                          <a:srgbClr val="FFFFFF"/>
                        </a:solidFill>
                        <a:ln w="9525">
                          <a:solidFill>
                            <a:srgbClr val="000000"/>
                          </a:solidFill>
                          <a:miter lim="800000"/>
                          <a:headEnd/>
                          <a:tailEnd/>
                        </a:ln>
                      </wps:spPr>
                      <wps:txbx>
                        <w:txbxContent>
                          <w:p w14:paraId="2D0CCA17" w14:textId="77777777" w:rsidR="00404FC5" w:rsidRDefault="00404FC5" w:rsidP="00404FC5">
                            <w:pPr>
                              <w:pStyle w:val="NoSpacing"/>
                              <w:spacing w:after="120"/>
                              <w:rPr>
                                <w:rFonts w:cs="Calibri"/>
                                <w:b/>
                                <w:i/>
                                <w:color w:val="002060"/>
                                <w:sz w:val="24"/>
                                <w:szCs w:val="24"/>
                              </w:rPr>
                            </w:pPr>
                            <w:r>
                              <w:rPr>
                                <w:rFonts w:cs="Calibri"/>
                                <w:b/>
                                <w:i/>
                                <w:color w:val="002060"/>
                                <w:sz w:val="24"/>
                                <w:szCs w:val="24"/>
                              </w:rPr>
                              <w:t xml:space="preserve">Tips: </w:t>
                            </w:r>
                          </w:p>
                          <w:p w14:paraId="6E1FF04B" w14:textId="6D8E1014" w:rsidR="00404FC5" w:rsidRPr="003E15CD" w:rsidRDefault="00404FC5" w:rsidP="00404FC5">
                            <w:pPr>
                              <w:pStyle w:val="NoSpacing"/>
                              <w:spacing w:after="120"/>
                              <w:rPr>
                                <w:rFonts w:cs="Calibri"/>
                                <w:b/>
                                <w:i/>
                                <w:color w:val="002060"/>
                              </w:rPr>
                            </w:pPr>
                            <w:r w:rsidRPr="003E15CD">
                              <w:rPr>
                                <w:rFonts w:cs="Calibri"/>
                                <w:b/>
                                <w:i/>
                                <w:color w:val="002060"/>
                              </w:rPr>
                              <w:t>Be ready with your “elevator speech”</w:t>
                            </w:r>
                            <w:r w:rsidR="009F0E9B">
                              <w:rPr>
                                <w:rFonts w:cs="Calibri"/>
                                <w:b/>
                                <w:i/>
                                <w:color w:val="002060"/>
                              </w:rPr>
                              <w:t xml:space="preserve"> about the work of your health department</w:t>
                            </w:r>
                            <w:r w:rsidRPr="003E15CD">
                              <w:rPr>
                                <w:rFonts w:cs="Calibri"/>
                                <w:b/>
                                <w:i/>
                                <w:color w:val="002060"/>
                              </w:rPr>
                              <w:t xml:space="preserve"> in case you only have time to cover a couple of key points or you have the opportunity to talk to the Member of Congress for a few minutes. </w:t>
                            </w:r>
                          </w:p>
                          <w:p w14:paraId="5812D7F1" w14:textId="77777777" w:rsidR="00A72402" w:rsidRPr="003E15CD" w:rsidRDefault="00A72402" w:rsidP="00D7233C">
                            <w:pPr>
                              <w:pStyle w:val="NoSpacing"/>
                              <w:spacing w:after="120"/>
                              <w:rPr>
                                <w:rFonts w:cs="Calibri"/>
                                <w:b/>
                                <w:i/>
                                <w:color w:val="002060"/>
                              </w:rPr>
                            </w:pPr>
                            <w:r w:rsidRPr="003E15CD">
                              <w:rPr>
                                <w:rFonts w:cs="Calibri"/>
                                <w:b/>
                                <w:i/>
                                <w:color w:val="002060"/>
                              </w:rPr>
                              <w:t>Do not read these talking points word for word. Review them ahead of time and be prepared to talk about them with examples</w:t>
                            </w:r>
                            <w:r w:rsidR="00530A74" w:rsidRPr="003E15CD">
                              <w:rPr>
                                <w:rFonts w:cs="Calibri"/>
                                <w:b/>
                                <w:i/>
                                <w:color w:val="002060"/>
                              </w:rPr>
                              <w:t xml:space="preserve"> from your community</w:t>
                            </w:r>
                            <w:r w:rsidRPr="003E15CD">
                              <w:rPr>
                                <w:rFonts w:cs="Calibri"/>
                                <w:b/>
                                <w:i/>
                                <w:color w:val="002060"/>
                              </w:rPr>
                              <w:t xml:space="preserve">. </w:t>
                            </w:r>
                          </w:p>
                          <w:p w14:paraId="65F31BAE" w14:textId="77777777" w:rsidR="00F9218A" w:rsidRPr="003E15CD" w:rsidRDefault="00A72402" w:rsidP="00D7233C">
                            <w:pPr>
                              <w:pStyle w:val="NoSpacing"/>
                              <w:spacing w:after="120"/>
                              <w:rPr>
                                <w:rFonts w:cs="Calibri"/>
                                <w:b/>
                                <w:i/>
                                <w:color w:val="002060"/>
                              </w:rPr>
                            </w:pPr>
                            <w:r w:rsidRPr="003E15CD">
                              <w:rPr>
                                <w:rFonts w:cs="Calibri"/>
                                <w:b/>
                                <w:i/>
                                <w:color w:val="002060"/>
                              </w:rPr>
                              <w:t>Do not feel you need to cover everything in these talking points. Choose what makes the most sense for you. If you are in a group meeting, decide ahead of time who will cover which points. Each meeting will probably last no more than 30 minutes.</w:t>
                            </w:r>
                            <w:r w:rsidR="00530A74" w:rsidRPr="003E15CD">
                              <w:rPr>
                                <w:rFonts w:cs="Calibri"/>
                                <w:b/>
                                <w:i/>
                                <w:color w:val="00206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31A62" id="_x0000_t202" coordsize="21600,21600" o:spt="202" path="m,l,21600r21600,l21600,xe">
                <v:stroke joinstyle="miter"/>
                <v:path gradientshapeok="t" o:connecttype="rect"/>
              </v:shapetype>
              <v:shape id="Text Box 2" o:spid="_x0000_s1026" type="#_x0000_t202" style="position:absolute;left:0;text-align:left;margin-left:21pt;margin-top:3pt;width:492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FCJAIAAEc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">
                <v:textbox style="mso-fit-shape-to-text:t">
                  <w:txbxContent>
                    <w:p w14:paraId="2D0CCA17" w14:textId="77777777" w:rsidR="00404FC5" w:rsidRDefault="00404FC5" w:rsidP="00404FC5">
                      <w:pPr>
                        <w:pStyle w:val="NoSpacing"/>
                        <w:spacing w:after="120"/>
                        <w:rPr>
                          <w:rFonts w:cs="Calibri"/>
                          <w:b/>
                          <w:i/>
                          <w:color w:val="002060"/>
                          <w:sz w:val="24"/>
                          <w:szCs w:val="24"/>
                        </w:rPr>
                      </w:pPr>
                      <w:r>
                        <w:rPr>
                          <w:rFonts w:cs="Calibri"/>
                          <w:b/>
                          <w:i/>
                          <w:color w:val="002060"/>
                          <w:sz w:val="24"/>
                          <w:szCs w:val="24"/>
                        </w:rPr>
                        <w:t xml:space="preserve">Tips: </w:t>
                      </w:r>
                    </w:p>
                    <w:p w14:paraId="6E1FF04B" w14:textId="6D8E1014" w:rsidR="00404FC5" w:rsidRPr="003E15CD" w:rsidRDefault="00404FC5" w:rsidP="00404FC5">
                      <w:pPr>
                        <w:pStyle w:val="NoSpacing"/>
                        <w:spacing w:after="120"/>
                        <w:rPr>
                          <w:rFonts w:cs="Calibri"/>
                          <w:b/>
                          <w:i/>
                          <w:color w:val="002060"/>
                        </w:rPr>
                      </w:pPr>
                      <w:r w:rsidRPr="003E15CD">
                        <w:rPr>
                          <w:rFonts w:cs="Calibri"/>
                          <w:b/>
                          <w:i/>
                          <w:color w:val="002060"/>
                        </w:rPr>
                        <w:t>Be ready with your “elevator speech”</w:t>
                      </w:r>
                      <w:r w:rsidR="009F0E9B">
                        <w:rPr>
                          <w:rFonts w:cs="Calibri"/>
                          <w:b/>
                          <w:i/>
                          <w:color w:val="002060"/>
                        </w:rPr>
                        <w:t xml:space="preserve"> about the work of your health department</w:t>
                      </w:r>
                      <w:r w:rsidRPr="003E15CD">
                        <w:rPr>
                          <w:rFonts w:cs="Calibri"/>
                          <w:b/>
                          <w:i/>
                          <w:color w:val="002060"/>
                        </w:rPr>
                        <w:t xml:space="preserve"> in case you only have time to cover a couple of key points or you have the opportunity to talk to the Member of Congress for a few minutes. </w:t>
                      </w:r>
                    </w:p>
                    <w:p w14:paraId="5812D7F1" w14:textId="77777777" w:rsidR="00A72402" w:rsidRPr="003E15CD" w:rsidRDefault="00A72402" w:rsidP="00D7233C">
                      <w:pPr>
                        <w:pStyle w:val="NoSpacing"/>
                        <w:spacing w:after="120"/>
                        <w:rPr>
                          <w:rFonts w:cs="Calibri"/>
                          <w:b/>
                          <w:i/>
                          <w:color w:val="002060"/>
                        </w:rPr>
                      </w:pPr>
                      <w:r w:rsidRPr="003E15CD">
                        <w:rPr>
                          <w:rFonts w:cs="Calibri"/>
                          <w:b/>
                          <w:i/>
                          <w:color w:val="002060"/>
                        </w:rPr>
                        <w:t>Do not read these talking points word for word. Review them ahead of time and be prepared to talk about them with examples</w:t>
                      </w:r>
                      <w:r w:rsidR="00530A74" w:rsidRPr="003E15CD">
                        <w:rPr>
                          <w:rFonts w:cs="Calibri"/>
                          <w:b/>
                          <w:i/>
                          <w:color w:val="002060"/>
                        </w:rPr>
                        <w:t xml:space="preserve"> from your community</w:t>
                      </w:r>
                      <w:r w:rsidRPr="003E15CD">
                        <w:rPr>
                          <w:rFonts w:cs="Calibri"/>
                          <w:b/>
                          <w:i/>
                          <w:color w:val="002060"/>
                        </w:rPr>
                        <w:t xml:space="preserve">. </w:t>
                      </w:r>
                    </w:p>
                    <w:p w14:paraId="65F31BAE" w14:textId="77777777" w:rsidR="00F9218A" w:rsidRPr="003E15CD" w:rsidRDefault="00A72402" w:rsidP="00D7233C">
                      <w:pPr>
                        <w:pStyle w:val="NoSpacing"/>
                        <w:spacing w:after="120"/>
                        <w:rPr>
                          <w:rFonts w:cs="Calibri"/>
                          <w:b/>
                          <w:i/>
                          <w:color w:val="002060"/>
                        </w:rPr>
                      </w:pPr>
                      <w:r w:rsidRPr="003E15CD">
                        <w:rPr>
                          <w:rFonts w:cs="Calibri"/>
                          <w:b/>
                          <w:i/>
                          <w:color w:val="002060"/>
                        </w:rPr>
                        <w:t>Do not feel you need to cover everything in these talking points. Choose what makes the most sense for you. If you are in a group meeting, decide ahead of time who will cover which points. Each meeting will probably last no more than 30 minutes.</w:t>
                      </w:r>
                      <w:r w:rsidR="00530A74" w:rsidRPr="003E15CD">
                        <w:rPr>
                          <w:rFonts w:cs="Calibri"/>
                          <w:b/>
                          <w:i/>
                          <w:color w:val="002060"/>
                        </w:rPr>
                        <w:t xml:space="preserve"> </w:t>
                      </w:r>
                    </w:p>
                  </w:txbxContent>
                </v:textbox>
                <w10:wrap anchorx="margin"/>
              </v:shape>
            </w:pict>
          </mc:Fallback>
        </mc:AlternateContent>
      </w:r>
    </w:p>
    <w:p w14:paraId="47F8311B" w14:textId="12092107" w:rsidR="00867B67" w:rsidRPr="00294F59" w:rsidRDefault="00867B67" w:rsidP="00F214E7">
      <w:pPr>
        <w:pStyle w:val="NoSpacing"/>
        <w:rPr>
          <w:rFonts w:asciiTheme="minorHAnsi" w:hAnsiTheme="minorHAnsi" w:cs="Calibri"/>
          <w:sz w:val="24"/>
          <w:szCs w:val="24"/>
        </w:rPr>
      </w:pPr>
    </w:p>
    <w:p w14:paraId="1780A47D" w14:textId="77777777" w:rsidR="007931C7" w:rsidRPr="00294F59" w:rsidRDefault="007931C7" w:rsidP="00DF1760">
      <w:pPr>
        <w:pStyle w:val="NoSpacing"/>
        <w:rPr>
          <w:rFonts w:asciiTheme="minorHAnsi" w:hAnsiTheme="minorHAnsi" w:cs="Calibri"/>
          <w:b/>
          <w:sz w:val="24"/>
          <w:szCs w:val="24"/>
        </w:rPr>
      </w:pPr>
    </w:p>
    <w:p w14:paraId="3D33146B" w14:textId="77777777" w:rsidR="00867B67" w:rsidRPr="00294F59" w:rsidRDefault="00867B67" w:rsidP="001E2907">
      <w:pPr>
        <w:pStyle w:val="NoSpacing"/>
        <w:rPr>
          <w:rFonts w:asciiTheme="minorHAnsi" w:hAnsiTheme="minorHAnsi" w:cs="Calibri"/>
          <w:sz w:val="24"/>
          <w:szCs w:val="24"/>
          <w:u w:val="single"/>
        </w:rPr>
      </w:pPr>
    </w:p>
    <w:p w14:paraId="6BA331DF" w14:textId="77777777" w:rsidR="00867B67" w:rsidRPr="00294F59" w:rsidRDefault="00867B67" w:rsidP="001E2907">
      <w:pPr>
        <w:pStyle w:val="NoSpacing"/>
        <w:rPr>
          <w:rFonts w:asciiTheme="minorHAnsi" w:hAnsiTheme="minorHAnsi" w:cs="Calibri"/>
          <w:sz w:val="24"/>
          <w:szCs w:val="24"/>
          <w:u w:val="single"/>
        </w:rPr>
      </w:pPr>
    </w:p>
    <w:p w14:paraId="6EBD3284" w14:textId="77777777" w:rsidR="00867B67" w:rsidRPr="00294F59" w:rsidRDefault="00867B67" w:rsidP="001E2907">
      <w:pPr>
        <w:pStyle w:val="NoSpacing"/>
        <w:rPr>
          <w:rFonts w:asciiTheme="minorHAnsi" w:hAnsiTheme="minorHAnsi" w:cs="Calibri"/>
          <w:sz w:val="24"/>
          <w:szCs w:val="24"/>
          <w:u w:val="single"/>
        </w:rPr>
      </w:pPr>
    </w:p>
    <w:p w14:paraId="6B47F18E" w14:textId="77777777" w:rsidR="00867B67" w:rsidRPr="00294F59" w:rsidRDefault="00867B67" w:rsidP="001E2907">
      <w:pPr>
        <w:pStyle w:val="NoSpacing"/>
        <w:rPr>
          <w:rFonts w:asciiTheme="minorHAnsi" w:hAnsiTheme="minorHAnsi" w:cs="Calibri"/>
          <w:sz w:val="24"/>
          <w:szCs w:val="24"/>
          <w:u w:val="single"/>
        </w:rPr>
      </w:pPr>
    </w:p>
    <w:p w14:paraId="420ABB50" w14:textId="77777777" w:rsidR="00867B67" w:rsidRPr="00294F59" w:rsidRDefault="00867B67" w:rsidP="001E2907">
      <w:pPr>
        <w:pStyle w:val="NoSpacing"/>
        <w:rPr>
          <w:rFonts w:asciiTheme="minorHAnsi" w:hAnsiTheme="minorHAnsi" w:cs="Calibri"/>
          <w:sz w:val="24"/>
          <w:szCs w:val="24"/>
          <w:u w:val="single"/>
        </w:rPr>
      </w:pPr>
    </w:p>
    <w:p w14:paraId="30C0C71A" w14:textId="77777777" w:rsidR="00867B67" w:rsidRPr="00294F59" w:rsidRDefault="00867B67" w:rsidP="001E2907">
      <w:pPr>
        <w:pStyle w:val="NoSpacing"/>
        <w:rPr>
          <w:rFonts w:asciiTheme="minorHAnsi" w:hAnsiTheme="minorHAnsi" w:cs="Calibri"/>
          <w:sz w:val="24"/>
          <w:szCs w:val="24"/>
          <w:u w:val="single"/>
        </w:rPr>
      </w:pPr>
    </w:p>
    <w:p w14:paraId="6EA2FE85" w14:textId="77777777" w:rsidR="00F214E7" w:rsidRPr="00294F59" w:rsidRDefault="00F214E7" w:rsidP="001E2907">
      <w:pPr>
        <w:pStyle w:val="Heading1"/>
        <w:spacing w:before="0" w:line="240" w:lineRule="auto"/>
        <w:rPr>
          <w:rFonts w:asciiTheme="minorHAnsi" w:hAnsiTheme="minorHAnsi"/>
          <w:b w:val="0"/>
          <w:sz w:val="22"/>
          <w:szCs w:val="22"/>
        </w:rPr>
      </w:pPr>
    </w:p>
    <w:p w14:paraId="7E0B187E" w14:textId="77777777" w:rsidR="0058464A" w:rsidRPr="00294F59" w:rsidRDefault="0058464A" w:rsidP="006D25EE">
      <w:pPr>
        <w:pStyle w:val="Heading1"/>
        <w:spacing w:before="120" w:line="240" w:lineRule="auto"/>
        <w:rPr>
          <w:rFonts w:asciiTheme="minorHAnsi" w:hAnsiTheme="minorHAnsi"/>
          <w:b w:val="0"/>
          <w:sz w:val="16"/>
          <w:szCs w:val="16"/>
        </w:rPr>
      </w:pPr>
    </w:p>
    <w:p w14:paraId="04AC4F13" w14:textId="77777777" w:rsidR="00052B3B" w:rsidRPr="00052B3B" w:rsidRDefault="00052B3B" w:rsidP="00052B3B">
      <w:pPr>
        <w:pStyle w:val="Heading1"/>
        <w:spacing w:before="0" w:line="240" w:lineRule="auto"/>
        <w:rPr>
          <w:rFonts w:asciiTheme="minorHAnsi" w:hAnsiTheme="minorHAnsi"/>
          <w:sz w:val="16"/>
          <w:szCs w:val="16"/>
        </w:rPr>
      </w:pPr>
    </w:p>
    <w:p w14:paraId="3FC62723" w14:textId="77777777" w:rsidR="00C812E2" w:rsidRPr="00294F59" w:rsidRDefault="00C812E2" w:rsidP="009F0E9B">
      <w:pPr>
        <w:pStyle w:val="Heading1"/>
        <w:spacing w:before="240" w:line="240" w:lineRule="auto"/>
        <w:rPr>
          <w:rFonts w:asciiTheme="minorHAnsi" w:hAnsiTheme="minorHAnsi"/>
        </w:rPr>
      </w:pPr>
      <w:r w:rsidRPr="00294F59">
        <w:rPr>
          <w:rFonts w:asciiTheme="minorHAnsi" w:hAnsiTheme="minorHAnsi"/>
        </w:rPr>
        <w:t>Overview</w:t>
      </w:r>
    </w:p>
    <w:p w14:paraId="2FD84820" w14:textId="77777777" w:rsidR="0058464A" w:rsidRPr="00294F59" w:rsidRDefault="0058464A" w:rsidP="00052B3B">
      <w:pPr>
        <w:pStyle w:val="Heading2"/>
        <w:spacing w:before="0" w:line="240" w:lineRule="auto"/>
        <w:rPr>
          <w:rFonts w:asciiTheme="minorHAnsi" w:hAnsiTheme="minorHAnsi"/>
        </w:rPr>
      </w:pPr>
      <w:r w:rsidRPr="00294F59">
        <w:rPr>
          <w:rFonts w:asciiTheme="minorHAnsi" w:hAnsiTheme="minorHAnsi"/>
        </w:rPr>
        <w:t>Goal</w:t>
      </w:r>
    </w:p>
    <w:p w14:paraId="043AA8B3" w14:textId="43E78329" w:rsidR="00F214E7" w:rsidRPr="00294F59" w:rsidRDefault="0058464A" w:rsidP="00052B3B">
      <w:pPr>
        <w:pStyle w:val="NoSpacing"/>
        <w:rPr>
          <w:rFonts w:asciiTheme="minorHAnsi" w:hAnsiTheme="minorHAnsi"/>
        </w:rPr>
      </w:pPr>
      <w:r w:rsidRPr="00294F59">
        <w:rPr>
          <w:rFonts w:asciiTheme="minorHAnsi" w:hAnsiTheme="minorHAnsi" w:cs="Calibri"/>
          <w:i/>
          <w:sz w:val="24"/>
          <w:szCs w:val="24"/>
        </w:rPr>
        <w:t xml:space="preserve">Educate Congressional staff about what </w:t>
      </w:r>
      <w:r w:rsidR="008660CA">
        <w:rPr>
          <w:rFonts w:asciiTheme="minorHAnsi" w:hAnsiTheme="minorHAnsi" w:cs="Calibri"/>
          <w:i/>
          <w:sz w:val="24"/>
          <w:szCs w:val="24"/>
        </w:rPr>
        <w:t>your health department does and the importance of</w:t>
      </w:r>
      <w:r w:rsidRPr="00294F59">
        <w:rPr>
          <w:rFonts w:asciiTheme="minorHAnsi" w:hAnsiTheme="minorHAnsi" w:cs="Calibri"/>
          <w:i/>
          <w:sz w:val="24"/>
          <w:szCs w:val="24"/>
        </w:rPr>
        <w:t xml:space="preserve"> federal funding </w:t>
      </w:r>
      <w:r w:rsidR="008660CA">
        <w:rPr>
          <w:rFonts w:asciiTheme="minorHAnsi" w:hAnsiTheme="minorHAnsi" w:cs="Calibri"/>
          <w:i/>
          <w:sz w:val="24"/>
          <w:szCs w:val="24"/>
        </w:rPr>
        <w:t xml:space="preserve">to </w:t>
      </w:r>
      <w:r w:rsidRPr="00294F59">
        <w:rPr>
          <w:rFonts w:asciiTheme="minorHAnsi" w:hAnsiTheme="minorHAnsi" w:cs="Calibri"/>
          <w:i/>
          <w:sz w:val="24"/>
          <w:szCs w:val="24"/>
        </w:rPr>
        <w:t>help you keep people in your community healthy and safe.</w:t>
      </w:r>
    </w:p>
    <w:p w14:paraId="771D031D" w14:textId="77777777" w:rsidR="00052B3B" w:rsidRDefault="00052B3B" w:rsidP="00052B3B">
      <w:pPr>
        <w:pStyle w:val="Heading2"/>
        <w:spacing w:before="0" w:line="240" w:lineRule="auto"/>
        <w:rPr>
          <w:rFonts w:asciiTheme="minorHAnsi" w:hAnsiTheme="minorHAnsi"/>
          <w:sz w:val="16"/>
          <w:szCs w:val="16"/>
        </w:rPr>
      </w:pPr>
    </w:p>
    <w:p w14:paraId="3D65E0CE" w14:textId="4453B5B3" w:rsidR="008660CA" w:rsidRPr="008660CA" w:rsidRDefault="009F1F17" w:rsidP="004065A0">
      <w:pPr>
        <w:spacing w:after="0"/>
        <w:rPr>
          <w:b/>
        </w:rPr>
      </w:pPr>
      <w:r>
        <w:rPr>
          <w:b/>
        </w:rPr>
        <w:t>Top</w:t>
      </w:r>
      <w:r w:rsidR="008660CA" w:rsidRPr="008660CA">
        <w:rPr>
          <w:b/>
        </w:rPr>
        <w:t xml:space="preserve"> Priorities: </w:t>
      </w:r>
    </w:p>
    <w:p w14:paraId="3B34CAB6" w14:textId="015F4783" w:rsidR="006A4928" w:rsidRDefault="009F1F17" w:rsidP="008660CA">
      <w:pPr>
        <w:pStyle w:val="ListParagraph"/>
        <w:numPr>
          <w:ilvl w:val="0"/>
          <w:numId w:val="39"/>
        </w:numPr>
      </w:pPr>
      <w:r>
        <w:t>Communicate importance of Centers for Disease Control and Prevention (CDC) to your community</w:t>
      </w:r>
    </w:p>
    <w:p w14:paraId="086E019A" w14:textId="31706F7B" w:rsidR="008660CA" w:rsidRDefault="004065A0" w:rsidP="008660CA">
      <w:pPr>
        <w:pStyle w:val="ListParagraph"/>
        <w:numPr>
          <w:ilvl w:val="0"/>
          <w:numId w:val="39"/>
        </w:numPr>
      </w:pPr>
      <w:r>
        <w:t xml:space="preserve">Preserve the </w:t>
      </w:r>
      <w:r w:rsidR="008660CA">
        <w:t>Prevention and Public Health Fund: including funding for 317 immunization program, childhood lead poisoning prevention, preventive health block grant and other programs.</w:t>
      </w:r>
    </w:p>
    <w:p w14:paraId="29614BB0" w14:textId="13459E63" w:rsidR="008660CA" w:rsidRPr="008660CA" w:rsidRDefault="009F1F17" w:rsidP="006A4928">
      <w:pPr>
        <w:pStyle w:val="ListParagraph"/>
        <w:numPr>
          <w:ilvl w:val="0"/>
          <w:numId w:val="39"/>
        </w:numPr>
      </w:pPr>
      <w:r>
        <w:t>Preserve provisions important to public health in any Affordable Care Act replacement</w:t>
      </w:r>
    </w:p>
    <w:p w14:paraId="55E08C72" w14:textId="6D9CD91A" w:rsidR="00D7233C" w:rsidRPr="009F0E9B" w:rsidRDefault="009F0E9B" w:rsidP="009F0E9B">
      <w:pPr>
        <w:tabs>
          <w:tab w:val="left" w:pos="1170"/>
          <w:tab w:val="left" w:pos="2070"/>
        </w:tabs>
        <w:spacing w:after="0" w:line="240" w:lineRule="auto"/>
        <w:rPr>
          <w:rFonts w:eastAsia="Calibri" w:cs="Times New Roman"/>
          <w:b/>
          <w:sz w:val="32"/>
          <w:szCs w:val="32"/>
        </w:rPr>
      </w:pPr>
      <w:r w:rsidRPr="009F0E9B">
        <w:rPr>
          <w:rFonts w:eastAsia="Calibri" w:cs="Times New Roman"/>
          <w:b/>
          <w:sz w:val="32"/>
          <w:szCs w:val="32"/>
        </w:rPr>
        <w:t>General Talking Points</w:t>
      </w:r>
    </w:p>
    <w:p w14:paraId="26947C17" w14:textId="239F93CA" w:rsidR="009F0E9B" w:rsidRDefault="009F0E9B" w:rsidP="009F0E9B">
      <w:r>
        <w:t xml:space="preserve">Nearly 3,000 local health departments work every day in their communities to prevent disease, promote wellness, and protect health. They organize community partnerships and facilitate important conversations with stakeholders about how to create the conditions in which all people can be healthy. </w:t>
      </w:r>
    </w:p>
    <w:p w14:paraId="29694EFB" w14:textId="4FCA2853" w:rsidR="009F0E9B" w:rsidRDefault="009F0E9B" w:rsidP="009F0E9B">
      <w:r>
        <w:t xml:space="preserve">Much of </w:t>
      </w:r>
      <w:r w:rsidRPr="00DF1839">
        <w:t>what influences our health happens outside of the doctor’s office.</w:t>
      </w:r>
      <w:r>
        <w:t xml:space="preserve"> Public health departments are responsible for monitoring health threats in the community and taking action to reduce</w:t>
      </w:r>
      <w:r w:rsidR="00184C0B">
        <w:t xml:space="preserve"> the</w:t>
      </w:r>
      <w:r>
        <w:t xml:space="preserve"> risk</w:t>
      </w:r>
      <w:r w:rsidR="00184C0B">
        <w:t>s</w:t>
      </w:r>
      <w:r>
        <w:t xml:space="preserve"> o</w:t>
      </w:r>
      <w:r w:rsidR="00EC371B">
        <w:t>f</w:t>
      </w:r>
      <w:r>
        <w:t xml:space="preserve"> those threats. </w:t>
      </w:r>
    </w:p>
    <w:p w14:paraId="4807B7BE" w14:textId="1979E301" w:rsidR="009F0E9B" w:rsidRDefault="009F0E9B" w:rsidP="009F0E9B">
      <w:r>
        <w:t xml:space="preserve">In an emergency that threatens the public’s health, local health departments are on the front lines </w:t>
      </w:r>
      <w:r w:rsidRPr="00E823B5">
        <w:t>24 hours a day, 7 days a week to protect their communities.</w:t>
      </w:r>
      <w:r>
        <w:t xml:space="preserve"> </w:t>
      </w:r>
    </w:p>
    <w:p w14:paraId="6B20D594" w14:textId="692E31D0" w:rsidR="009F0E9B" w:rsidRDefault="009F0E9B" w:rsidP="009F0E9B">
      <w:r>
        <w:t xml:space="preserve">Strong public health services strengthen </w:t>
      </w:r>
      <w:r w:rsidRPr="00BA6B23">
        <w:t>economic well-being, educational success, and nation-wide competitiveness community by community.</w:t>
      </w:r>
      <w:r>
        <w:t xml:space="preserve"> </w:t>
      </w:r>
    </w:p>
    <w:p w14:paraId="65AE7BA2" w14:textId="77777777" w:rsidR="009F0E9B" w:rsidRDefault="009F0E9B" w:rsidP="009F0E9B">
      <w:pPr>
        <w:pStyle w:val="ListParagraph"/>
        <w:numPr>
          <w:ilvl w:val="0"/>
          <w:numId w:val="40"/>
        </w:numPr>
        <w:spacing w:after="160" w:line="259" w:lineRule="auto"/>
        <w:ind w:left="360"/>
      </w:pPr>
      <w:r>
        <w:t>Governmental public health spending accounts for only 3% of the $2.9 trillion spent on health care in the United States.</w:t>
      </w:r>
    </w:p>
    <w:p w14:paraId="71C9F334" w14:textId="77777777" w:rsidR="009F0E9B" w:rsidRDefault="009F0E9B" w:rsidP="009F0E9B">
      <w:pPr>
        <w:pStyle w:val="ListParagraph"/>
        <w:numPr>
          <w:ilvl w:val="0"/>
          <w:numId w:val="40"/>
        </w:numPr>
        <w:spacing w:after="160" w:line="259" w:lineRule="auto"/>
        <w:ind w:left="360"/>
      </w:pPr>
      <w:r>
        <w:t>As a nation, we spend at least twice as much on health care per person than any other industrialized country, but health outcomes are much poorer than our peers.</w:t>
      </w:r>
    </w:p>
    <w:p w14:paraId="6B840DAB" w14:textId="2DD10F40" w:rsidR="00027CEE" w:rsidRDefault="009F0E9B" w:rsidP="009F0E9B">
      <w:pPr>
        <w:pStyle w:val="ListParagraph"/>
        <w:numPr>
          <w:ilvl w:val="0"/>
          <w:numId w:val="40"/>
        </w:numPr>
        <w:spacing w:after="160" w:line="259" w:lineRule="auto"/>
        <w:ind w:left="360"/>
      </w:pPr>
      <w:r>
        <w:t>In order to improve health outcomes, a strong public health system is needed to address the most common health threats. Proven methods like providing immunizations, implementing anti-smoking, exercise and nutrition programs and monitoring air, water and the food supply help to keep people healthy and safe.</w:t>
      </w:r>
    </w:p>
    <w:p w14:paraId="5B66D8D6" w14:textId="77777777" w:rsidR="00B1367C" w:rsidRDefault="00B1367C" w:rsidP="00B1367C">
      <w:pPr>
        <w:rPr>
          <w:b/>
          <w:color w:val="4F81BD" w:themeColor="accent1"/>
        </w:rPr>
      </w:pPr>
      <w:r>
        <w:rPr>
          <w:b/>
          <w:color w:val="4F81BD" w:themeColor="accent1"/>
          <w:u w:val="single"/>
        </w:rPr>
        <w:lastRenderedPageBreak/>
        <w:t>Public Health Emergency Preparedness</w:t>
      </w:r>
      <w:r>
        <w:rPr>
          <w:b/>
          <w:color w:val="4F81BD" w:themeColor="accent1"/>
          <w:u w:val="single"/>
        </w:rPr>
        <w:br/>
      </w:r>
      <w:r w:rsidRPr="008E7568">
        <w:rPr>
          <w:b/>
          <w:i/>
          <w:color w:val="4F81BD" w:themeColor="accent1"/>
        </w:rPr>
        <w:t>FY2017: $660 million</w:t>
      </w:r>
      <w:r w:rsidRPr="008E7568">
        <w:rPr>
          <w:b/>
          <w:i/>
          <w:color w:val="4F81BD" w:themeColor="accent1"/>
        </w:rPr>
        <w:br/>
        <w:t>FY2018 NACCHO Request: $705 million</w:t>
      </w:r>
      <w:r w:rsidRPr="008E7568">
        <w:rPr>
          <w:b/>
          <w:i/>
          <w:color w:val="4F81BD" w:themeColor="accent1"/>
        </w:rPr>
        <w:br/>
        <w:t>FY2018 President’s Budget: $551 million</w:t>
      </w:r>
    </w:p>
    <w:p w14:paraId="13995E30" w14:textId="77777777" w:rsidR="00B1367C" w:rsidRPr="008E7568" w:rsidRDefault="00B1367C" w:rsidP="00B1367C">
      <w:pPr>
        <w:pStyle w:val="ListParagraph"/>
        <w:numPr>
          <w:ilvl w:val="0"/>
          <w:numId w:val="20"/>
        </w:numPr>
        <w:spacing w:after="0" w:line="240" w:lineRule="auto"/>
        <w:rPr>
          <w:rFonts w:cstheme="minorHAnsi"/>
          <w:b/>
          <w:i/>
          <w:color w:val="C00000"/>
          <w:u w:val="single"/>
        </w:rPr>
      </w:pPr>
      <w:r w:rsidRPr="008E7568">
        <w:rPr>
          <w:b/>
          <w:i/>
          <w:color w:val="C00000"/>
        </w:rPr>
        <w:t xml:space="preserve">Describe how you utilize PHEP funds to keep your community safe and how additional funds are needed. Be prepared to discuss how you have used the emergency </w:t>
      </w:r>
      <w:proofErr w:type="spellStart"/>
      <w:r w:rsidRPr="008E7568">
        <w:rPr>
          <w:b/>
          <w:i/>
          <w:color w:val="C00000"/>
        </w:rPr>
        <w:t>Zika</w:t>
      </w:r>
      <w:proofErr w:type="spellEnd"/>
      <w:r w:rsidRPr="008E7568">
        <w:rPr>
          <w:b/>
          <w:i/>
          <w:color w:val="C00000"/>
        </w:rPr>
        <w:t xml:space="preserve"> </w:t>
      </w:r>
      <w:proofErr w:type="gramStart"/>
      <w:r w:rsidRPr="008E7568">
        <w:rPr>
          <w:b/>
          <w:i/>
          <w:color w:val="C00000"/>
        </w:rPr>
        <w:t>funding .</w:t>
      </w:r>
      <w:proofErr w:type="gramEnd"/>
    </w:p>
    <w:p w14:paraId="7DBF261C" w14:textId="77777777" w:rsidR="00B1367C" w:rsidRPr="008E7568" w:rsidRDefault="00B1367C" w:rsidP="00B1367C">
      <w:pPr>
        <w:pStyle w:val="ListParagraph"/>
        <w:numPr>
          <w:ilvl w:val="0"/>
          <w:numId w:val="20"/>
        </w:numPr>
        <w:spacing w:after="0" w:line="240" w:lineRule="auto"/>
        <w:rPr>
          <w:rFonts w:cstheme="minorHAnsi"/>
          <w:u w:val="single"/>
        </w:rPr>
      </w:pPr>
      <w:r w:rsidRPr="008E7568">
        <w:t>PHEP is funded through CDC to the states and then to local health departments. PHEP’s aim is to prepare the nation’s public health system for emergency response.</w:t>
      </w:r>
    </w:p>
    <w:p w14:paraId="2925F5BC" w14:textId="77777777" w:rsidR="00B1367C" w:rsidRPr="008E7568" w:rsidRDefault="00B1367C" w:rsidP="00B1367C">
      <w:pPr>
        <w:pStyle w:val="ListParagraph"/>
        <w:numPr>
          <w:ilvl w:val="0"/>
          <w:numId w:val="20"/>
        </w:numPr>
        <w:spacing w:after="0" w:line="240" w:lineRule="auto"/>
        <w:rPr>
          <w:rFonts w:cstheme="minorHAnsi"/>
          <w:u w:val="single"/>
        </w:rPr>
      </w:pPr>
      <w:r w:rsidRPr="008E7568">
        <w:t>PHEP provides funding to advance public health stem capability development and strengthen the ability of LHDs to respond to public health threats and build resilient communities.</w:t>
      </w:r>
    </w:p>
    <w:p w14:paraId="305106FD" w14:textId="77777777" w:rsidR="00B1367C" w:rsidRPr="008E7568" w:rsidRDefault="00B1367C" w:rsidP="00B1367C">
      <w:pPr>
        <w:pStyle w:val="ListParagraph"/>
        <w:numPr>
          <w:ilvl w:val="0"/>
          <w:numId w:val="20"/>
        </w:numPr>
        <w:spacing w:after="0" w:line="240" w:lineRule="auto"/>
        <w:rPr>
          <w:rFonts w:cstheme="minorHAnsi"/>
          <w:u w:val="single"/>
        </w:rPr>
      </w:pPr>
      <w:r w:rsidRPr="008E7568">
        <w:t xml:space="preserve">In 2016, $50 million in PHEP funds were allocated toward helping communities prepare for and respond to </w:t>
      </w:r>
      <w:proofErr w:type="spellStart"/>
      <w:r w:rsidRPr="008E7568">
        <w:t>Zika</w:t>
      </w:r>
      <w:proofErr w:type="spellEnd"/>
      <w:r w:rsidRPr="008E7568">
        <w:t xml:space="preserve"> virus outbreaks.</w:t>
      </w:r>
    </w:p>
    <w:p w14:paraId="2F85DBA6" w14:textId="77777777" w:rsidR="00B1367C" w:rsidRPr="008E7568" w:rsidRDefault="00B1367C" w:rsidP="00B1367C">
      <w:pPr>
        <w:pStyle w:val="ListParagraph"/>
        <w:numPr>
          <w:ilvl w:val="0"/>
          <w:numId w:val="20"/>
        </w:numPr>
        <w:autoSpaceDE w:val="0"/>
        <w:autoSpaceDN w:val="0"/>
        <w:adjustRightInd w:val="0"/>
        <w:spacing w:after="0" w:line="240" w:lineRule="auto"/>
      </w:pPr>
      <w:r w:rsidRPr="008E7568">
        <w:t xml:space="preserve">Local health departments act quickly and efficiently to protect people in their communities during emergencies because of ongoing public health preparedness activities. </w:t>
      </w:r>
    </w:p>
    <w:p w14:paraId="3D482A93" w14:textId="77777777" w:rsidR="00B1367C" w:rsidRPr="008E7568" w:rsidRDefault="00B1367C" w:rsidP="00B1367C">
      <w:pPr>
        <w:pStyle w:val="ListParagraph"/>
        <w:numPr>
          <w:ilvl w:val="0"/>
          <w:numId w:val="20"/>
        </w:numPr>
        <w:autoSpaceDE w:val="0"/>
        <w:autoSpaceDN w:val="0"/>
        <w:adjustRightInd w:val="0"/>
        <w:spacing w:after="0" w:line="240" w:lineRule="auto"/>
      </w:pPr>
      <w:r w:rsidRPr="008E7568">
        <w:t>They develop emergency plans, purchase the equipment and supplies necessary to execute plans, train their workforce and conduct exercises to test plans, and use lessons learned from the trainings and exercises to improve those plans.</w:t>
      </w:r>
    </w:p>
    <w:p w14:paraId="149616E2" w14:textId="77777777" w:rsidR="00B1367C" w:rsidRPr="008E7568" w:rsidRDefault="00B1367C" w:rsidP="00B1367C">
      <w:pPr>
        <w:pStyle w:val="ListParagraph"/>
        <w:numPr>
          <w:ilvl w:val="0"/>
          <w:numId w:val="20"/>
        </w:numPr>
        <w:spacing w:after="0" w:line="240" w:lineRule="auto"/>
        <w:rPr>
          <w:rFonts w:cstheme="minorHAnsi"/>
          <w:u w:val="single"/>
        </w:rPr>
      </w:pPr>
      <w:r w:rsidRPr="008E7568">
        <w:t>As severe weather events have become more frequent, residents of our communities rely on local agencies to protect them.</w:t>
      </w:r>
    </w:p>
    <w:p w14:paraId="5CF88888" w14:textId="77777777" w:rsidR="00B1367C" w:rsidRPr="008E7568" w:rsidRDefault="00B1367C" w:rsidP="00B1367C">
      <w:pPr>
        <w:pStyle w:val="ListParagraph"/>
        <w:numPr>
          <w:ilvl w:val="0"/>
          <w:numId w:val="20"/>
        </w:numPr>
        <w:spacing w:after="0" w:line="240" w:lineRule="auto"/>
        <w:rPr>
          <w:rFonts w:cstheme="minorHAnsi"/>
          <w:i/>
          <w:u w:val="single"/>
        </w:rPr>
      </w:pPr>
      <w:r w:rsidRPr="008E7568">
        <w:t xml:space="preserve">Although PHEP received an increase in FY2016, the program still remains far below historical funding levels with flat funding in FY2017. </w:t>
      </w:r>
    </w:p>
    <w:p w14:paraId="459ABE98" w14:textId="77777777" w:rsidR="00B1367C" w:rsidRPr="00B1367C" w:rsidRDefault="00B1367C" w:rsidP="00B1367C">
      <w:pPr>
        <w:pStyle w:val="ListParagraph"/>
        <w:numPr>
          <w:ilvl w:val="0"/>
          <w:numId w:val="20"/>
        </w:numPr>
        <w:spacing w:after="0" w:line="240" w:lineRule="auto"/>
        <w:rPr>
          <w:rFonts w:cstheme="minorHAnsi"/>
          <w:i/>
          <w:sz w:val="24"/>
          <w:szCs w:val="24"/>
          <w:u w:val="single"/>
        </w:rPr>
      </w:pPr>
      <w:r w:rsidRPr="0040491D">
        <w:rPr>
          <w:sz w:val="24"/>
          <w:szCs w:val="24"/>
        </w:rPr>
        <w:t xml:space="preserve">PHEP funding </w:t>
      </w:r>
      <w:r>
        <w:rPr>
          <w:sz w:val="24"/>
          <w:szCs w:val="24"/>
        </w:rPr>
        <w:t xml:space="preserve">to health departments </w:t>
      </w:r>
      <w:r w:rsidRPr="0040491D">
        <w:rPr>
          <w:sz w:val="24"/>
          <w:szCs w:val="24"/>
        </w:rPr>
        <w:t xml:space="preserve">has been cut more than </w:t>
      </w:r>
      <w:r>
        <w:rPr>
          <w:sz w:val="24"/>
          <w:szCs w:val="24"/>
        </w:rPr>
        <w:t>29</w:t>
      </w:r>
      <w:r w:rsidRPr="0040491D">
        <w:rPr>
          <w:sz w:val="24"/>
          <w:szCs w:val="24"/>
        </w:rPr>
        <w:t xml:space="preserve">% </w:t>
      </w:r>
      <w:r>
        <w:rPr>
          <w:sz w:val="24"/>
          <w:szCs w:val="24"/>
        </w:rPr>
        <w:t>over the last decade –FY2005-FY2015.</w:t>
      </w:r>
    </w:p>
    <w:p w14:paraId="5C8EAA5A" w14:textId="69345DBB" w:rsidR="00B1367C" w:rsidRPr="006A5C1A" w:rsidRDefault="00B1367C" w:rsidP="00B1367C">
      <w:pPr>
        <w:pStyle w:val="ListParagraph"/>
        <w:numPr>
          <w:ilvl w:val="0"/>
          <w:numId w:val="20"/>
        </w:numPr>
        <w:spacing w:after="0" w:line="240" w:lineRule="auto"/>
        <w:rPr>
          <w:rFonts w:cstheme="minorHAnsi"/>
          <w:i/>
          <w:sz w:val="24"/>
          <w:szCs w:val="24"/>
          <w:u w:val="single"/>
        </w:rPr>
      </w:pPr>
      <w:r>
        <w:rPr>
          <w:sz w:val="24"/>
          <w:szCs w:val="24"/>
        </w:rPr>
        <w:t xml:space="preserve">Current Trump Administration has said the PHEP and Hospital Preparedness Program (HPP) are “duplicative.” Explain the difference between; PHEP – public health preparedness and HPP – Health system preparedness, and </w:t>
      </w:r>
      <w:r w:rsidR="00BB2759">
        <w:rPr>
          <w:sz w:val="24"/>
          <w:szCs w:val="24"/>
        </w:rPr>
        <w:t>reinforce that</w:t>
      </w:r>
      <w:bookmarkStart w:id="0" w:name="_GoBack"/>
      <w:bookmarkEnd w:id="0"/>
      <w:r>
        <w:rPr>
          <w:sz w:val="24"/>
          <w:szCs w:val="24"/>
        </w:rPr>
        <w:t xml:space="preserve"> both programs should be fully funded.</w:t>
      </w:r>
    </w:p>
    <w:p w14:paraId="2771FF96" w14:textId="77777777" w:rsidR="00B1367C" w:rsidRDefault="00B1367C" w:rsidP="00027CEE">
      <w:pPr>
        <w:autoSpaceDE w:val="0"/>
        <w:autoSpaceDN w:val="0"/>
        <w:adjustRightInd w:val="0"/>
        <w:spacing w:after="0" w:line="240" w:lineRule="auto"/>
        <w:rPr>
          <w:rFonts w:cstheme="minorHAnsi"/>
          <w:b/>
          <w:color w:val="4F81BD" w:themeColor="accent1"/>
          <w:u w:val="single"/>
        </w:rPr>
      </w:pPr>
    </w:p>
    <w:p w14:paraId="46221D43" w14:textId="77777777" w:rsidR="00027CEE" w:rsidRPr="00217288" w:rsidRDefault="00027CEE" w:rsidP="00027CEE">
      <w:pPr>
        <w:autoSpaceDE w:val="0"/>
        <w:autoSpaceDN w:val="0"/>
        <w:adjustRightInd w:val="0"/>
        <w:spacing w:after="0" w:line="240" w:lineRule="auto"/>
        <w:rPr>
          <w:rFonts w:cstheme="minorHAnsi"/>
          <w:b/>
          <w:color w:val="4F81BD" w:themeColor="accent1"/>
          <w:u w:val="single"/>
        </w:rPr>
      </w:pPr>
      <w:r w:rsidRPr="00217288">
        <w:rPr>
          <w:rFonts w:cstheme="minorHAnsi"/>
          <w:b/>
          <w:color w:val="4F81BD" w:themeColor="accent1"/>
          <w:u w:val="single"/>
        </w:rPr>
        <w:t xml:space="preserve">Prevention Provisions Important to Public Health in ACA Replacement </w:t>
      </w:r>
    </w:p>
    <w:p w14:paraId="25C97A12" w14:textId="77777777" w:rsidR="00027CEE" w:rsidRPr="00217288" w:rsidRDefault="00027CEE" w:rsidP="00027CEE">
      <w:pPr>
        <w:pStyle w:val="ListParagraph"/>
        <w:numPr>
          <w:ilvl w:val="0"/>
          <w:numId w:val="43"/>
        </w:numPr>
        <w:autoSpaceDE w:val="0"/>
        <w:autoSpaceDN w:val="0"/>
        <w:adjustRightInd w:val="0"/>
        <w:spacing w:after="0" w:line="240" w:lineRule="auto"/>
        <w:rPr>
          <w:rFonts w:cstheme="minorHAnsi"/>
          <w:color w:val="FF0000"/>
        </w:rPr>
      </w:pPr>
      <w:r w:rsidRPr="00217288">
        <w:rPr>
          <w:rFonts w:cstheme="minorHAnsi"/>
          <w:color w:val="FF0000"/>
        </w:rPr>
        <w:t>Describe how the</w:t>
      </w:r>
      <w:r>
        <w:rPr>
          <w:rFonts w:cstheme="minorHAnsi"/>
          <w:color w:val="FF0000"/>
        </w:rPr>
        <w:t xml:space="preserve"> ACA’s</w:t>
      </w:r>
      <w:r w:rsidRPr="00217288">
        <w:rPr>
          <w:rFonts w:cstheme="minorHAnsi"/>
          <w:color w:val="FF0000"/>
        </w:rPr>
        <w:t xml:space="preserve"> insurance expansions and/or preventive benefits have improved the health of people in your community.</w:t>
      </w:r>
    </w:p>
    <w:p w14:paraId="3D5CB924" w14:textId="12EA9930" w:rsidR="00027CEE" w:rsidRPr="00217288" w:rsidRDefault="00027CEE" w:rsidP="00027CEE">
      <w:pPr>
        <w:pStyle w:val="ListParagraph"/>
        <w:numPr>
          <w:ilvl w:val="0"/>
          <w:numId w:val="42"/>
        </w:numPr>
        <w:autoSpaceDE w:val="0"/>
        <w:autoSpaceDN w:val="0"/>
        <w:adjustRightInd w:val="0"/>
        <w:spacing w:after="0" w:line="240" w:lineRule="auto"/>
        <w:rPr>
          <w:rFonts w:cstheme="minorHAnsi"/>
        </w:rPr>
      </w:pPr>
      <w:r w:rsidRPr="00217288">
        <w:rPr>
          <w:rFonts w:cstheme="minorHAnsi"/>
        </w:rPr>
        <w:t>The ACA include</w:t>
      </w:r>
      <w:r w:rsidR="003A7782">
        <w:rPr>
          <w:rFonts w:cstheme="minorHAnsi"/>
        </w:rPr>
        <w:t>d</w:t>
      </w:r>
      <w:r w:rsidRPr="00217288">
        <w:rPr>
          <w:rFonts w:cstheme="minorHAnsi"/>
        </w:rPr>
        <w:t xml:space="preserve"> provisions that expanded access to preventive services and population health interventions. Congress should maintain a focus on prevention and consider maintaining these provisions in any replacement package.</w:t>
      </w:r>
    </w:p>
    <w:p w14:paraId="29376130" w14:textId="77777777" w:rsidR="00027CEE" w:rsidRPr="00217288" w:rsidRDefault="00027CEE" w:rsidP="00027CEE">
      <w:pPr>
        <w:pStyle w:val="ListParagraph"/>
        <w:numPr>
          <w:ilvl w:val="0"/>
          <w:numId w:val="42"/>
        </w:numPr>
        <w:autoSpaceDE w:val="0"/>
        <w:autoSpaceDN w:val="0"/>
        <w:adjustRightInd w:val="0"/>
        <w:spacing w:after="0" w:line="240" w:lineRule="auto"/>
        <w:rPr>
          <w:rFonts w:cstheme="minorHAnsi"/>
        </w:rPr>
      </w:pPr>
      <w:r w:rsidRPr="00217288">
        <w:rPr>
          <w:rFonts w:cstheme="minorHAnsi"/>
        </w:rPr>
        <w:t>Examples include:</w:t>
      </w:r>
    </w:p>
    <w:p w14:paraId="4C983060" w14:textId="77777777" w:rsidR="00027CEE" w:rsidRPr="00217288" w:rsidRDefault="00027CEE" w:rsidP="00027CEE">
      <w:pPr>
        <w:pStyle w:val="ListParagraph"/>
        <w:numPr>
          <w:ilvl w:val="1"/>
          <w:numId w:val="42"/>
        </w:numPr>
        <w:autoSpaceDE w:val="0"/>
        <w:autoSpaceDN w:val="0"/>
        <w:adjustRightInd w:val="0"/>
        <w:spacing w:after="0" w:line="240" w:lineRule="auto"/>
        <w:rPr>
          <w:rFonts w:cstheme="minorHAnsi"/>
        </w:rPr>
      </w:pPr>
      <w:r w:rsidRPr="00217288">
        <w:rPr>
          <w:rFonts w:cstheme="minorHAnsi"/>
        </w:rPr>
        <w:t>Through their own private health insurance, 138 million individuals, including millions of children, have access to preventive health care services at no cost to the patient (first dollar coverage/no co-pays or deductibles), including:</w:t>
      </w:r>
    </w:p>
    <w:p w14:paraId="0584A6B9" w14:textId="1A68AC2C" w:rsidR="00027CEE" w:rsidRPr="00217288" w:rsidRDefault="00027CEE" w:rsidP="00027CEE">
      <w:pPr>
        <w:pStyle w:val="ListParagraph"/>
        <w:numPr>
          <w:ilvl w:val="2"/>
          <w:numId w:val="42"/>
        </w:numPr>
        <w:autoSpaceDE w:val="0"/>
        <w:autoSpaceDN w:val="0"/>
        <w:adjustRightInd w:val="0"/>
        <w:spacing w:after="0" w:line="240" w:lineRule="auto"/>
        <w:rPr>
          <w:rFonts w:cstheme="minorHAnsi"/>
        </w:rPr>
      </w:pPr>
      <w:r>
        <w:rPr>
          <w:rFonts w:cstheme="minorHAnsi"/>
        </w:rPr>
        <w:t xml:space="preserve">CDC recommended vaccines determined by the </w:t>
      </w:r>
      <w:r w:rsidRPr="00217288">
        <w:rPr>
          <w:rFonts w:cstheme="minorHAnsi"/>
        </w:rPr>
        <w:t>Advisory Committee on Immunization Practices</w:t>
      </w:r>
      <w:r w:rsidR="003A7782">
        <w:rPr>
          <w:rFonts w:cstheme="minorHAnsi"/>
        </w:rPr>
        <w:t>.</w:t>
      </w:r>
    </w:p>
    <w:p w14:paraId="4CFCC47F" w14:textId="3CA1D7DF" w:rsidR="00027CEE" w:rsidRPr="00217288" w:rsidRDefault="00027CEE" w:rsidP="00027CEE">
      <w:pPr>
        <w:pStyle w:val="ListParagraph"/>
        <w:numPr>
          <w:ilvl w:val="2"/>
          <w:numId w:val="42"/>
        </w:numPr>
        <w:autoSpaceDE w:val="0"/>
        <w:autoSpaceDN w:val="0"/>
        <w:adjustRightInd w:val="0"/>
        <w:spacing w:after="0" w:line="240" w:lineRule="auto"/>
        <w:rPr>
          <w:rFonts w:cstheme="minorHAnsi"/>
        </w:rPr>
      </w:pPr>
      <w:r w:rsidRPr="00217288">
        <w:rPr>
          <w:rFonts w:cstheme="minorHAnsi"/>
        </w:rPr>
        <w:t>Preventive disease screenings and services as recommended by the U.S. Preventive Services Task Force (Grade A and B)</w:t>
      </w:r>
      <w:r w:rsidR="003A7782">
        <w:rPr>
          <w:rFonts w:cstheme="minorHAnsi"/>
        </w:rPr>
        <w:t>.</w:t>
      </w:r>
    </w:p>
    <w:p w14:paraId="180B2C4F" w14:textId="27E34F38" w:rsidR="00027CEE" w:rsidRPr="00217288" w:rsidRDefault="00027CEE" w:rsidP="00027CEE">
      <w:pPr>
        <w:pStyle w:val="ListParagraph"/>
        <w:numPr>
          <w:ilvl w:val="2"/>
          <w:numId w:val="42"/>
        </w:numPr>
        <w:autoSpaceDE w:val="0"/>
        <w:autoSpaceDN w:val="0"/>
        <w:adjustRightInd w:val="0"/>
        <w:spacing w:after="0" w:line="240" w:lineRule="auto"/>
        <w:rPr>
          <w:rFonts w:cstheme="minorHAnsi"/>
        </w:rPr>
      </w:pPr>
      <w:r w:rsidRPr="00217288">
        <w:rPr>
          <w:rFonts w:cstheme="minorHAnsi"/>
        </w:rPr>
        <w:t>Well-child visits as recommended in American Academy of Pediatrics Bright Futures</w:t>
      </w:r>
      <w:r w:rsidR="003A7782">
        <w:rPr>
          <w:rFonts w:cstheme="minorHAnsi"/>
        </w:rPr>
        <w:t>.</w:t>
      </w:r>
    </w:p>
    <w:p w14:paraId="7FAF82F3" w14:textId="77777777" w:rsidR="00027CEE" w:rsidRPr="00217288" w:rsidRDefault="00027CEE" w:rsidP="00027CEE">
      <w:pPr>
        <w:pStyle w:val="ListParagraph"/>
        <w:numPr>
          <w:ilvl w:val="2"/>
          <w:numId w:val="42"/>
        </w:numPr>
        <w:autoSpaceDE w:val="0"/>
        <w:autoSpaceDN w:val="0"/>
        <w:adjustRightInd w:val="0"/>
        <w:spacing w:after="0" w:line="240" w:lineRule="auto"/>
        <w:rPr>
          <w:rFonts w:cstheme="minorHAnsi"/>
        </w:rPr>
      </w:pPr>
      <w:r w:rsidRPr="00217288">
        <w:rPr>
          <w:rFonts w:cstheme="minorHAnsi"/>
        </w:rPr>
        <w:t xml:space="preserve">Women’s preventive services as recommended by </w:t>
      </w:r>
      <w:r>
        <w:rPr>
          <w:rFonts w:cstheme="minorHAnsi"/>
        </w:rPr>
        <w:t>the Health Resources and Services Administration</w:t>
      </w:r>
    </w:p>
    <w:p w14:paraId="0B3FA396" w14:textId="77777777" w:rsidR="00027CEE" w:rsidRPr="00217288" w:rsidRDefault="00027CEE" w:rsidP="00027CEE">
      <w:pPr>
        <w:pStyle w:val="ListParagraph"/>
        <w:numPr>
          <w:ilvl w:val="1"/>
          <w:numId w:val="42"/>
        </w:numPr>
        <w:autoSpaceDE w:val="0"/>
        <w:autoSpaceDN w:val="0"/>
        <w:adjustRightInd w:val="0"/>
        <w:spacing w:after="0" w:line="240" w:lineRule="auto"/>
        <w:rPr>
          <w:rFonts w:cstheme="minorHAnsi"/>
        </w:rPr>
      </w:pPr>
      <w:r w:rsidRPr="00217288">
        <w:rPr>
          <w:rFonts w:cstheme="minorHAnsi"/>
        </w:rPr>
        <w:t>Increased access to clinical preventive services in Medicare.</w:t>
      </w:r>
    </w:p>
    <w:p w14:paraId="237355FC" w14:textId="139BAE9D" w:rsidR="00027CEE" w:rsidRPr="00217288" w:rsidRDefault="00F9580B" w:rsidP="00027CEE">
      <w:pPr>
        <w:pStyle w:val="ListParagraph"/>
        <w:numPr>
          <w:ilvl w:val="2"/>
          <w:numId w:val="42"/>
        </w:numPr>
        <w:autoSpaceDE w:val="0"/>
        <w:autoSpaceDN w:val="0"/>
        <w:adjustRightInd w:val="0"/>
        <w:spacing w:after="0" w:line="240" w:lineRule="auto"/>
        <w:rPr>
          <w:rFonts w:cstheme="minorHAnsi"/>
        </w:rPr>
      </w:pPr>
      <w:r>
        <w:rPr>
          <w:rFonts w:cstheme="minorHAnsi"/>
        </w:rPr>
        <w:t>F</w:t>
      </w:r>
      <w:r w:rsidR="00027CEE" w:rsidRPr="00217288">
        <w:rPr>
          <w:rFonts w:cstheme="minorHAnsi"/>
        </w:rPr>
        <w:t xml:space="preserve">ree preventive services </w:t>
      </w:r>
      <w:r>
        <w:rPr>
          <w:rFonts w:cstheme="minorHAnsi"/>
        </w:rPr>
        <w:t xml:space="preserve">for </w:t>
      </w:r>
      <w:r w:rsidRPr="00217288">
        <w:rPr>
          <w:rFonts w:cstheme="minorHAnsi"/>
        </w:rPr>
        <w:t xml:space="preserve">seniors </w:t>
      </w:r>
      <w:r w:rsidR="00027CEE" w:rsidRPr="00217288">
        <w:rPr>
          <w:rFonts w:cstheme="minorHAnsi"/>
        </w:rPr>
        <w:t xml:space="preserve">through Medicare. </w:t>
      </w:r>
    </w:p>
    <w:p w14:paraId="1AB669A2" w14:textId="77777777" w:rsidR="00027CEE" w:rsidRPr="00217288" w:rsidRDefault="00027CEE" w:rsidP="00027CEE">
      <w:pPr>
        <w:pStyle w:val="ListParagraph"/>
        <w:numPr>
          <w:ilvl w:val="2"/>
          <w:numId w:val="42"/>
        </w:numPr>
        <w:autoSpaceDE w:val="0"/>
        <w:autoSpaceDN w:val="0"/>
        <w:adjustRightInd w:val="0"/>
        <w:spacing w:after="0" w:line="240" w:lineRule="auto"/>
        <w:rPr>
          <w:rFonts w:cstheme="minorHAnsi"/>
        </w:rPr>
      </w:pPr>
      <w:r w:rsidRPr="00217288">
        <w:rPr>
          <w:rFonts w:cstheme="minorHAnsi"/>
        </w:rPr>
        <w:t>Medicare Part B coverage of an annual wellness visit, including a personalized prevention plan.</w:t>
      </w:r>
    </w:p>
    <w:p w14:paraId="62FF3175" w14:textId="77777777" w:rsidR="00027CEE" w:rsidRPr="00217288" w:rsidRDefault="00027CEE" w:rsidP="00027CEE">
      <w:pPr>
        <w:pStyle w:val="ListParagraph"/>
        <w:numPr>
          <w:ilvl w:val="1"/>
          <w:numId w:val="42"/>
        </w:numPr>
        <w:autoSpaceDE w:val="0"/>
        <w:autoSpaceDN w:val="0"/>
        <w:adjustRightInd w:val="0"/>
        <w:spacing w:after="0" w:line="240" w:lineRule="auto"/>
        <w:rPr>
          <w:rFonts w:cstheme="minorHAnsi"/>
        </w:rPr>
      </w:pPr>
      <w:r w:rsidRPr="00217288">
        <w:rPr>
          <w:rFonts w:cstheme="minorHAnsi"/>
        </w:rPr>
        <w:t>Hospital Community Benefit that requires nonprofit hospitals to conduct community health needs assessments and develop implementation plans to address those needs.</w:t>
      </w:r>
    </w:p>
    <w:p w14:paraId="73194BE3" w14:textId="77777777" w:rsidR="00027CEE" w:rsidRDefault="00027CEE" w:rsidP="00027CEE">
      <w:pPr>
        <w:pStyle w:val="ListParagraph"/>
        <w:numPr>
          <w:ilvl w:val="1"/>
          <w:numId w:val="42"/>
        </w:numPr>
        <w:autoSpaceDE w:val="0"/>
        <w:autoSpaceDN w:val="0"/>
        <w:adjustRightInd w:val="0"/>
        <w:spacing w:after="0" w:line="240" w:lineRule="auto"/>
        <w:rPr>
          <w:rFonts w:cstheme="minorHAnsi"/>
        </w:rPr>
      </w:pPr>
      <w:r w:rsidRPr="00217288">
        <w:rPr>
          <w:rFonts w:cstheme="minorHAnsi"/>
        </w:rPr>
        <w:t>National Prevention Council comprised of 20 leaders of executive branch departments and agencies that coordinate and lead federal health promotion efforts across the federal government.</w:t>
      </w:r>
    </w:p>
    <w:p w14:paraId="7028BAF5" w14:textId="4158AD81" w:rsidR="00521774" w:rsidRDefault="00521774" w:rsidP="00521774">
      <w:pPr>
        <w:pStyle w:val="ListParagraph"/>
        <w:numPr>
          <w:ilvl w:val="0"/>
          <w:numId w:val="42"/>
        </w:numPr>
        <w:autoSpaceDE w:val="0"/>
        <w:autoSpaceDN w:val="0"/>
        <w:adjustRightInd w:val="0"/>
        <w:spacing w:after="0" w:line="240" w:lineRule="auto"/>
        <w:rPr>
          <w:rFonts w:cstheme="minorHAnsi"/>
        </w:rPr>
      </w:pPr>
      <w:r>
        <w:rPr>
          <w:rFonts w:cstheme="minorHAnsi"/>
        </w:rPr>
        <w:lastRenderedPageBreak/>
        <w:t xml:space="preserve">The ACA also encouraged communities to reorganize the provision of health care services so that care was coordinated among providers. In many communities, a focus on disease prevention also fostered partnerships between public health and health care through the State Innovative Models and other mechanisms. </w:t>
      </w:r>
    </w:p>
    <w:p w14:paraId="6599337A" w14:textId="02051412" w:rsidR="00521774" w:rsidRDefault="00521774" w:rsidP="00521774">
      <w:pPr>
        <w:pStyle w:val="ListParagraph"/>
        <w:numPr>
          <w:ilvl w:val="0"/>
          <w:numId w:val="42"/>
        </w:numPr>
        <w:autoSpaceDE w:val="0"/>
        <w:autoSpaceDN w:val="0"/>
        <w:adjustRightInd w:val="0"/>
        <w:spacing w:after="0" w:line="240" w:lineRule="auto"/>
        <w:rPr>
          <w:rFonts w:cstheme="minorHAnsi"/>
        </w:rPr>
      </w:pPr>
      <w:r>
        <w:rPr>
          <w:rFonts w:cstheme="minorHAnsi"/>
        </w:rPr>
        <w:t xml:space="preserve">These efforts have benefited my community in the following ways: </w:t>
      </w:r>
      <w:r w:rsidRPr="00F9580B">
        <w:rPr>
          <w:rFonts w:cstheme="minorHAnsi"/>
          <w:color w:val="FF0000"/>
        </w:rPr>
        <w:t>(Describe examples from your community.)</w:t>
      </w:r>
    </w:p>
    <w:p w14:paraId="51D0C851" w14:textId="77777777" w:rsidR="00027CEE" w:rsidRDefault="00027CEE" w:rsidP="00027CEE">
      <w:pPr>
        <w:autoSpaceDE w:val="0"/>
        <w:autoSpaceDN w:val="0"/>
        <w:adjustRightInd w:val="0"/>
        <w:spacing w:after="0" w:line="240" w:lineRule="auto"/>
        <w:rPr>
          <w:rFonts w:cstheme="minorHAnsi"/>
        </w:rPr>
      </w:pPr>
    </w:p>
    <w:p w14:paraId="42757211" w14:textId="77777777" w:rsidR="00027CEE" w:rsidRPr="00217288" w:rsidRDefault="00027CEE" w:rsidP="00027CEE">
      <w:pPr>
        <w:spacing w:after="0" w:line="240" w:lineRule="auto"/>
        <w:rPr>
          <w:b/>
          <w:color w:val="4F81BD" w:themeColor="accent1"/>
          <w:u w:val="single"/>
        </w:rPr>
      </w:pPr>
      <w:r w:rsidRPr="00217288">
        <w:rPr>
          <w:b/>
          <w:color w:val="4F81BD" w:themeColor="accent1"/>
          <w:u w:val="single"/>
        </w:rPr>
        <w:t xml:space="preserve">Prevention and Public Health Fund </w:t>
      </w:r>
    </w:p>
    <w:p w14:paraId="2EA5D3EA" w14:textId="47EB085D" w:rsidR="00027CEE" w:rsidRPr="00217288" w:rsidRDefault="00027CEE" w:rsidP="00027CEE">
      <w:pPr>
        <w:pStyle w:val="ListParagraph"/>
        <w:numPr>
          <w:ilvl w:val="0"/>
          <w:numId w:val="14"/>
        </w:numPr>
        <w:spacing w:after="0" w:line="240" w:lineRule="auto"/>
        <w:rPr>
          <w:i/>
          <w:color w:val="FF0000"/>
        </w:rPr>
      </w:pPr>
      <w:r w:rsidRPr="00217288">
        <w:rPr>
          <w:b/>
          <w:i/>
          <w:color w:val="FF0000"/>
        </w:rPr>
        <w:t>The</w:t>
      </w:r>
      <w:r>
        <w:rPr>
          <w:b/>
          <w:i/>
          <w:color w:val="FF0000"/>
        </w:rPr>
        <w:t xml:space="preserve"> </w:t>
      </w:r>
      <w:r w:rsidRPr="00184C0B">
        <w:rPr>
          <w:b/>
          <w:i/>
          <w:color w:val="FF0000"/>
        </w:rPr>
        <w:t>Prevention and Public Health Fund</w:t>
      </w:r>
      <w:r w:rsidRPr="00217288">
        <w:rPr>
          <w:b/>
          <w:i/>
          <w:color w:val="FF0000"/>
        </w:rPr>
        <w:t xml:space="preserve"> </w:t>
      </w:r>
      <w:r>
        <w:rPr>
          <w:b/>
          <w:i/>
          <w:color w:val="FF0000"/>
        </w:rPr>
        <w:t>(</w:t>
      </w:r>
      <w:r w:rsidRPr="00217288">
        <w:rPr>
          <w:b/>
          <w:i/>
          <w:color w:val="FF0000"/>
        </w:rPr>
        <w:t>PPHF</w:t>
      </w:r>
      <w:r>
        <w:rPr>
          <w:b/>
          <w:i/>
          <w:color w:val="FF0000"/>
        </w:rPr>
        <w:t>)</w:t>
      </w:r>
      <w:r w:rsidRPr="00217288">
        <w:rPr>
          <w:b/>
          <w:i/>
          <w:color w:val="FF0000"/>
        </w:rPr>
        <w:t xml:space="preserve"> is in grave danger of being eliminated in the repeal of the </w:t>
      </w:r>
      <w:r>
        <w:rPr>
          <w:b/>
          <w:i/>
          <w:color w:val="FF0000"/>
        </w:rPr>
        <w:t>Affordable Care Act (</w:t>
      </w:r>
      <w:r w:rsidRPr="00217288">
        <w:rPr>
          <w:b/>
          <w:i/>
          <w:color w:val="FF0000"/>
        </w:rPr>
        <w:t>ACA</w:t>
      </w:r>
      <w:r>
        <w:rPr>
          <w:b/>
          <w:i/>
          <w:color w:val="FF0000"/>
        </w:rPr>
        <w:t>)</w:t>
      </w:r>
      <w:r w:rsidRPr="00217288">
        <w:rPr>
          <w:b/>
          <w:i/>
          <w:color w:val="FF0000"/>
        </w:rPr>
        <w:t xml:space="preserve">. </w:t>
      </w:r>
      <w:r w:rsidR="007E1D11">
        <w:rPr>
          <w:b/>
          <w:i/>
          <w:color w:val="FF0000"/>
        </w:rPr>
        <w:t xml:space="preserve">The American Health Care Act (AHCA) that passed the House repeals the Fund in FY2019. </w:t>
      </w:r>
      <w:r w:rsidR="00C76A47">
        <w:rPr>
          <w:b/>
          <w:i/>
          <w:color w:val="FF0000"/>
        </w:rPr>
        <w:t>A passage of the American Health Care Act</w:t>
      </w:r>
      <w:r w:rsidRPr="00217288">
        <w:rPr>
          <w:b/>
          <w:i/>
          <w:color w:val="FF0000"/>
        </w:rPr>
        <w:t xml:space="preserve"> could result in </w:t>
      </w:r>
      <w:r w:rsidR="00C76A47">
        <w:rPr>
          <w:b/>
          <w:i/>
          <w:color w:val="FF0000"/>
        </w:rPr>
        <w:t>an elimination of the fund in FY2019</w:t>
      </w:r>
      <w:r w:rsidRPr="00217288">
        <w:rPr>
          <w:b/>
          <w:i/>
          <w:color w:val="FF0000"/>
        </w:rPr>
        <w:t xml:space="preserve">. </w:t>
      </w:r>
    </w:p>
    <w:p w14:paraId="2ABF7467" w14:textId="77777777" w:rsidR="00027CEE" w:rsidRPr="00217288" w:rsidRDefault="00027CEE" w:rsidP="00027CEE">
      <w:pPr>
        <w:pStyle w:val="ListParagraph"/>
        <w:numPr>
          <w:ilvl w:val="0"/>
          <w:numId w:val="14"/>
        </w:numPr>
        <w:spacing w:after="0" w:line="240" w:lineRule="auto"/>
      </w:pPr>
      <w:r w:rsidRPr="00217288">
        <w:rPr>
          <w:rFonts w:cstheme="minorHAnsi"/>
        </w:rPr>
        <w:t>Please continue support for the CDC programs funded through the Prevention and Public Health Fund in order to keep people in our communities healthy and safe.</w:t>
      </w:r>
    </w:p>
    <w:p w14:paraId="0DE15655" w14:textId="77777777" w:rsidR="00027CEE" w:rsidRPr="00217288" w:rsidRDefault="00027CEE" w:rsidP="00027CEE">
      <w:pPr>
        <w:pStyle w:val="ListParagraph"/>
        <w:numPr>
          <w:ilvl w:val="0"/>
          <w:numId w:val="14"/>
        </w:numPr>
        <w:spacing w:after="0" w:line="240" w:lineRule="auto"/>
      </w:pPr>
      <w:r w:rsidRPr="00217288">
        <w:t>The PPHF was created in 2010 as part of the ACA.</w:t>
      </w:r>
    </w:p>
    <w:p w14:paraId="18B9B63A" w14:textId="77777777" w:rsidR="00027CEE" w:rsidRPr="00217288" w:rsidRDefault="00027CEE" w:rsidP="00027CEE">
      <w:pPr>
        <w:pStyle w:val="ListParagraph"/>
        <w:numPr>
          <w:ilvl w:val="0"/>
          <w:numId w:val="14"/>
        </w:numPr>
        <w:spacing w:after="0" w:line="240" w:lineRule="auto"/>
      </w:pPr>
      <w:r w:rsidRPr="00217288">
        <w:rPr>
          <w:rFonts w:cstheme="minorHAnsi"/>
        </w:rPr>
        <w:t xml:space="preserve">The intent of the PPHF was to provide a mandatory funding stream to support </w:t>
      </w:r>
      <w:r w:rsidRPr="003A7782">
        <w:rPr>
          <w:rFonts w:cstheme="minorHAnsi"/>
          <w:b/>
          <w:color w:val="FF0000"/>
        </w:rPr>
        <w:t>new</w:t>
      </w:r>
      <w:r w:rsidRPr="003A7782">
        <w:rPr>
          <w:rFonts w:cstheme="minorHAnsi"/>
          <w:color w:val="FF0000"/>
        </w:rPr>
        <w:t xml:space="preserve"> </w:t>
      </w:r>
      <w:r w:rsidRPr="00217288">
        <w:rPr>
          <w:rFonts w:cstheme="minorHAnsi"/>
        </w:rPr>
        <w:t>activities that focused on keeping people healthy and thereby decreasing health care costs (e.g. reducing chronic and infectious disease).</w:t>
      </w:r>
    </w:p>
    <w:p w14:paraId="27907D27" w14:textId="77777777" w:rsidR="00027CEE" w:rsidRPr="00217288" w:rsidRDefault="00027CEE" w:rsidP="00027CEE">
      <w:pPr>
        <w:pStyle w:val="ListParagraph"/>
        <w:numPr>
          <w:ilvl w:val="0"/>
          <w:numId w:val="14"/>
        </w:numPr>
        <w:spacing w:after="0" w:line="240" w:lineRule="auto"/>
      </w:pPr>
      <w:r w:rsidRPr="00217288">
        <w:rPr>
          <w:rFonts w:cstheme="minorHAnsi"/>
        </w:rPr>
        <w:t>The PPHF now accounts for 12% of CDC’s budget</w:t>
      </w:r>
      <w:r>
        <w:rPr>
          <w:rFonts w:cstheme="minorHAnsi"/>
        </w:rPr>
        <w:t>;</w:t>
      </w:r>
      <w:r w:rsidRPr="00217288">
        <w:rPr>
          <w:rFonts w:cstheme="minorHAnsi"/>
        </w:rPr>
        <w:t xml:space="preserve"> this funding must be maintained through the appropriations process.</w:t>
      </w:r>
    </w:p>
    <w:p w14:paraId="6D1E0FD7" w14:textId="77777777" w:rsidR="00027CEE" w:rsidRPr="00217288" w:rsidRDefault="00027CEE" w:rsidP="00027CEE">
      <w:pPr>
        <w:pStyle w:val="ListParagraph"/>
        <w:numPr>
          <w:ilvl w:val="0"/>
          <w:numId w:val="14"/>
        </w:numPr>
        <w:spacing w:after="0" w:line="240" w:lineRule="auto"/>
      </w:pPr>
      <w:r w:rsidRPr="00217288">
        <w:rPr>
          <w:rFonts w:cstheme="minorHAnsi"/>
        </w:rPr>
        <w:t xml:space="preserve">The PPHF now primarily supports core public health programs at CDC including: </w:t>
      </w:r>
    </w:p>
    <w:p w14:paraId="3552A0AB" w14:textId="77777777" w:rsidR="00027CEE" w:rsidRPr="00217288" w:rsidRDefault="00027CEE" w:rsidP="00027CEE">
      <w:pPr>
        <w:pStyle w:val="ListParagraph"/>
        <w:numPr>
          <w:ilvl w:val="1"/>
          <w:numId w:val="14"/>
        </w:numPr>
        <w:spacing w:after="0" w:line="240" w:lineRule="auto"/>
      </w:pPr>
      <w:r w:rsidRPr="00217288">
        <w:rPr>
          <w:rFonts w:cstheme="minorHAnsi"/>
        </w:rPr>
        <w:t>317 Immunization Program</w:t>
      </w:r>
    </w:p>
    <w:p w14:paraId="3DEA99D0" w14:textId="77777777" w:rsidR="00027CEE" w:rsidRPr="00217288" w:rsidRDefault="00027CEE" w:rsidP="00027CEE">
      <w:pPr>
        <w:pStyle w:val="ListParagraph"/>
        <w:numPr>
          <w:ilvl w:val="1"/>
          <w:numId w:val="14"/>
        </w:numPr>
        <w:spacing w:after="0" w:line="240" w:lineRule="auto"/>
      </w:pPr>
      <w:r w:rsidRPr="00217288">
        <w:rPr>
          <w:rFonts w:cstheme="minorHAnsi"/>
        </w:rPr>
        <w:t>Epidemiology and Laboratory Capacity</w:t>
      </w:r>
    </w:p>
    <w:p w14:paraId="6C1B844C" w14:textId="77777777" w:rsidR="00027CEE" w:rsidRPr="00217288" w:rsidRDefault="00027CEE" w:rsidP="00027CEE">
      <w:pPr>
        <w:pStyle w:val="ListParagraph"/>
        <w:numPr>
          <w:ilvl w:val="1"/>
          <w:numId w:val="14"/>
        </w:numPr>
        <w:spacing w:after="0" w:line="240" w:lineRule="auto"/>
      </w:pPr>
      <w:r>
        <w:rPr>
          <w:rFonts w:cstheme="minorHAnsi"/>
        </w:rPr>
        <w:t>Childhood l</w:t>
      </w:r>
      <w:r w:rsidRPr="00217288">
        <w:rPr>
          <w:rFonts w:cstheme="minorHAnsi"/>
        </w:rPr>
        <w:t xml:space="preserve">ead poisoning prevention </w:t>
      </w:r>
    </w:p>
    <w:p w14:paraId="76AF393D" w14:textId="77777777" w:rsidR="00027CEE" w:rsidRPr="00276328" w:rsidRDefault="00027CEE" w:rsidP="00027CEE">
      <w:pPr>
        <w:pStyle w:val="ListParagraph"/>
        <w:numPr>
          <w:ilvl w:val="1"/>
          <w:numId w:val="14"/>
        </w:numPr>
        <w:spacing w:after="0" w:line="240" w:lineRule="auto"/>
      </w:pPr>
      <w:r w:rsidRPr="00217288">
        <w:rPr>
          <w:rFonts w:cstheme="minorHAnsi"/>
        </w:rPr>
        <w:t>Preventive Health and Health Services Block Grant, which provides flexible funding to address state and local health priorities.</w:t>
      </w:r>
    </w:p>
    <w:p w14:paraId="3B33CD13" w14:textId="77777777" w:rsidR="00027CEE" w:rsidRPr="00217288" w:rsidRDefault="00027CEE" w:rsidP="00027CEE">
      <w:pPr>
        <w:pStyle w:val="ListParagraph"/>
        <w:numPr>
          <w:ilvl w:val="1"/>
          <w:numId w:val="14"/>
        </w:numPr>
        <w:spacing w:after="0" w:line="240" w:lineRule="auto"/>
      </w:pPr>
      <w:r>
        <w:rPr>
          <w:rFonts w:cstheme="minorHAnsi"/>
        </w:rPr>
        <w:t>Heart disease and stroke prevention.</w:t>
      </w:r>
    </w:p>
    <w:p w14:paraId="4D4F2BBE" w14:textId="77777777" w:rsidR="00027CEE" w:rsidRPr="00E9652E" w:rsidRDefault="00027CEE" w:rsidP="00E9652E">
      <w:pPr>
        <w:pStyle w:val="ListParagraph"/>
        <w:numPr>
          <w:ilvl w:val="0"/>
          <w:numId w:val="14"/>
        </w:numPr>
        <w:autoSpaceDE w:val="0"/>
        <w:autoSpaceDN w:val="0"/>
        <w:adjustRightInd w:val="0"/>
        <w:spacing w:after="0" w:line="240" w:lineRule="auto"/>
        <w:rPr>
          <w:rFonts w:cstheme="minorHAnsi"/>
          <w:u w:val="single"/>
        </w:rPr>
      </w:pPr>
      <w:r w:rsidRPr="00184C0B">
        <w:rPr>
          <w:rFonts w:eastAsia="Times New Roman" w:cstheme="minorHAnsi"/>
          <w:b/>
          <w:color w:val="FF0000"/>
        </w:rPr>
        <w:t>If your health department receives money from the PPHF</w:t>
      </w:r>
      <w:r w:rsidRPr="00184C0B">
        <w:rPr>
          <w:rFonts w:eastAsia="Times New Roman" w:cstheme="minorHAnsi"/>
          <w:color w:val="FF0000"/>
        </w:rPr>
        <w:t xml:space="preserve">, </w:t>
      </w:r>
      <w:r w:rsidRPr="00217288">
        <w:rPr>
          <w:rFonts w:eastAsia="Times New Roman" w:cstheme="minorHAnsi"/>
        </w:rPr>
        <w:t>describe what you are doing with it and what impact it has/will have in your community.</w:t>
      </w:r>
    </w:p>
    <w:p w14:paraId="2A1C1152" w14:textId="77777777" w:rsidR="00E9652E" w:rsidRPr="00217288" w:rsidRDefault="00E9652E" w:rsidP="00E9652E">
      <w:pPr>
        <w:pStyle w:val="ListParagraph"/>
        <w:autoSpaceDE w:val="0"/>
        <w:autoSpaceDN w:val="0"/>
        <w:adjustRightInd w:val="0"/>
        <w:spacing w:after="0" w:line="240" w:lineRule="auto"/>
        <w:ind w:left="360"/>
        <w:rPr>
          <w:rFonts w:cstheme="minorHAnsi"/>
          <w:u w:val="single"/>
        </w:rPr>
      </w:pPr>
    </w:p>
    <w:p w14:paraId="00FAEB96" w14:textId="086280B2" w:rsidR="00682DDE" w:rsidRPr="00E9652E" w:rsidRDefault="00682DDE" w:rsidP="00027CEE">
      <w:pPr>
        <w:rPr>
          <w:b/>
        </w:rPr>
      </w:pPr>
      <w:r w:rsidRPr="00E9652E">
        <w:rPr>
          <w:b/>
        </w:rPr>
        <w:t>Funding Streams Supported by PPHF:</w:t>
      </w:r>
    </w:p>
    <w:p w14:paraId="6C6B10E2" w14:textId="77777777" w:rsidR="00682DDE" w:rsidRPr="00217288" w:rsidRDefault="00682DDE" w:rsidP="00682DDE">
      <w:pPr>
        <w:spacing w:after="0" w:line="240" w:lineRule="auto"/>
        <w:rPr>
          <w:rFonts w:cstheme="minorHAnsi"/>
          <w:b/>
          <w:color w:val="4F81BD" w:themeColor="accent1"/>
          <w:u w:val="single"/>
        </w:rPr>
      </w:pPr>
      <w:r w:rsidRPr="00217288">
        <w:rPr>
          <w:rFonts w:cstheme="minorHAnsi"/>
          <w:b/>
          <w:color w:val="4F81BD" w:themeColor="accent1"/>
          <w:u w:val="single"/>
        </w:rPr>
        <w:t xml:space="preserve">317 Immunization Program </w:t>
      </w:r>
    </w:p>
    <w:p w14:paraId="6273AE3A" w14:textId="7D7B8B98" w:rsidR="00682DDE" w:rsidRPr="00217288" w:rsidRDefault="00F9580B" w:rsidP="00682DDE">
      <w:pPr>
        <w:spacing w:after="0" w:line="240" w:lineRule="auto"/>
        <w:rPr>
          <w:rFonts w:cstheme="minorHAnsi"/>
          <w:b/>
          <w:i/>
          <w:color w:val="4F81BD" w:themeColor="accent1"/>
        </w:rPr>
      </w:pPr>
      <w:r>
        <w:rPr>
          <w:rFonts w:cstheme="minorHAnsi"/>
          <w:b/>
          <w:i/>
          <w:color w:val="4F81BD" w:themeColor="accent1"/>
        </w:rPr>
        <w:t>FY201</w:t>
      </w:r>
      <w:r w:rsidR="00C76A47">
        <w:rPr>
          <w:rFonts w:cstheme="minorHAnsi"/>
          <w:b/>
          <w:i/>
          <w:color w:val="4F81BD" w:themeColor="accent1"/>
        </w:rPr>
        <w:t>7: $607</w:t>
      </w:r>
      <w:r>
        <w:rPr>
          <w:rFonts w:cstheme="minorHAnsi"/>
          <w:b/>
          <w:i/>
          <w:color w:val="4F81BD" w:themeColor="accent1"/>
        </w:rPr>
        <w:t xml:space="preserve"> million</w:t>
      </w:r>
      <w:r w:rsidR="00682DDE" w:rsidRPr="00217288">
        <w:rPr>
          <w:rFonts w:cstheme="minorHAnsi"/>
          <w:b/>
          <w:i/>
          <w:color w:val="4F81BD" w:themeColor="accent1"/>
        </w:rPr>
        <w:t xml:space="preserve"> ($324 million PPHF)</w:t>
      </w:r>
    </w:p>
    <w:p w14:paraId="0AEFD84A" w14:textId="77777777" w:rsidR="00682DDE" w:rsidRDefault="00682DDE" w:rsidP="00682DDE">
      <w:pPr>
        <w:spacing w:after="0" w:line="240" w:lineRule="auto"/>
        <w:rPr>
          <w:rFonts w:cstheme="minorHAnsi"/>
          <w:b/>
          <w:i/>
          <w:color w:val="4F81BD" w:themeColor="accent1"/>
        </w:rPr>
      </w:pPr>
      <w:r w:rsidRPr="00217288">
        <w:rPr>
          <w:rFonts w:cstheme="minorHAnsi"/>
          <w:b/>
          <w:i/>
          <w:color w:val="4F81BD" w:themeColor="accent1"/>
        </w:rPr>
        <w:t>FY2018 NACCHO Request: $650 million</w:t>
      </w:r>
    </w:p>
    <w:p w14:paraId="77EF8728" w14:textId="203BD34E" w:rsidR="00C76A47" w:rsidRPr="00217288" w:rsidRDefault="00C76A47" w:rsidP="00682DDE">
      <w:pPr>
        <w:spacing w:after="0" w:line="240" w:lineRule="auto"/>
        <w:rPr>
          <w:rFonts w:cstheme="minorHAnsi"/>
          <w:b/>
          <w:i/>
          <w:color w:val="4F81BD" w:themeColor="accent1"/>
        </w:rPr>
      </w:pPr>
      <w:r>
        <w:rPr>
          <w:rFonts w:cstheme="minorHAnsi"/>
          <w:b/>
          <w:i/>
          <w:color w:val="4F81BD" w:themeColor="accent1"/>
        </w:rPr>
        <w:t>FY2018 President’s Budget: $521</w:t>
      </w:r>
      <w:r w:rsidR="00B1367C">
        <w:rPr>
          <w:rFonts w:cstheme="minorHAnsi"/>
          <w:b/>
          <w:i/>
          <w:color w:val="4F81BD" w:themeColor="accent1"/>
        </w:rPr>
        <w:t xml:space="preserve"> million</w:t>
      </w:r>
    </w:p>
    <w:p w14:paraId="2E4953F8" w14:textId="5DCE7EBF" w:rsidR="00682DDE" w:rsidRPr="00217288" w:rsidRDefault="00682DDE" w:rsidP="00682DDE">
      <w:pPr>
        <w:pStyle w:val="ListParagraph"/>
        <w:numPr>
          <w:ilvl w:val="0"/>
          <w:numId w:val="14"/>
        </w:numPr>
        <w:spacing w:after="0" w:line="240" w:lineRule="auto"/>
        <w:rPr>
          <w:i/>
          <w:color w:val="FF0000"/>
        </w:rPr>
      </w:pPr>
      <w:r w:rsidRPr="00217288">
        <w:rPr>
          <w:b/>
          <w:i/>
          <w:color w:val="FF0000"/>
        </w:rPr>
        <w:t>Describe</w:t>
      </w:r>
      <w:r>
        <w:rPr>
          <w:b/>
          <w:i/>
          <w:color w:val="FF0000"/>
        </w:rPr>
        <w:t xml:space="preserve"> the need for immunization activities and</w:t>
      </w:r>
      <w:r w:rsidRPr="00217288">
        <w:rPr>
          <w:b/>
          <w:i/>
          <w:color w:val="FF0000"/>
        </w:rPr>
        <w:t xml:space="preserve"> how immunization funds are supporting your work in your community.</w:t>
      </w:r>
    </w:p>
    <w:p w14:paraId="4E2716B4" w14:textId="77777777" w:rsidR="00682DDE" w:rsidRPr="00217288" w:rsidRDefault="00682DDE" w:rsidP="00682DDE">
      <w:pPr>
        <w:pStyle w:val="ListParagraph"/>
        <w:numPr>
          <w:ilvl w:val="0"/>
          <w:numId w:val="14"/>
        </w:numPr>
        <w:spacing w:after="0" w:line="240" w:lineRule="auto"/>
      </w:pPr>
      <w:r w:rsidRPr="00217288">
        <w:t xml:space="preserve">CDC’s 317 Immunization Program </w:t>
      </w:r>
      <w:r>
        <w:t>receives</w:t>
      </w:r>
      <w:r w:rsidRPr="00217288">
        <w:t xml:space="preserve"> the largest single investment from the PPHF.</w:t>
      </w:r>
    </w:p>
    <w:p w14:paraId="4C9EC76A" w14:textId="33DB964C" w:rsidR="00682DDE" w:rsidRPr="00217288" w:rsidRDefault="00682DDE" w:rsidP="00682DDE">
      <w:pPr>
        <w:pStyle w:val="ListParagraph"/>
        <w:numPr>
          <w:ilvl w:val="0"/>
          <w:numId w:val="14"/>
        </w:numPr>
        <w:spacing w:after="0" w:line="240" w:lineRule="auto"/>
      </w:pPr>
      <w:r w:rsidRPr="00217288">
        <w:t>If the PPHF is eliminated in FY201</w:t>
      </w:r>
      <w:r w:rsidR="00C76A47">
        <w:t>9</w:t>
      </w:r>
      <w:r w:rsidRPr="00217288">
        <w:t>, states and local</w:t>
      </w:r>
      <w:r>
        <w:t xml:space="preserve"> communities</w:t>
      </w:r>
      <w:r w:rsidRPr="00217288">
        <w:t xml:space="preserve"> could see a 45% cut in 317 funding. This means no money for vaccine purchase, no money for quality assurance activities with physicians, and no money for immunizations in a </w:t>
      </w:r>
      <w:r>
        <w:t>vaccine-preventable disease</w:t>
      </w:r>
      <w:r w:rsidRPr="00217288">
        <w:t xml:space="preserve"> outbreak.</w:t>
      </w:r>
    </w:p>
    <w:p w14:paraId="0255070D" w14:textId="77777777" w:rsidR="00682DDE" w:rsidRPr="00217288" w:rsidRDefault="00682DDE" w:rsidP="00682DDE">
      <w:pPr>
        <w:pStyle w:val="ListParagraph"/>
        <w:numPr>
          <w:ilvl w:val="0"/>
          <w:numId w:val="14"/>
        </w:numPr>
        <w:spacing w:after="0" w:line="240" w:lineRule="auto"/>
      </w:pPr>
      <w:r w:rsidRPr="00217288">
        <w:t xml:space="preserve">The 317 Immunization Program funds health department activities to provide vaccines for at-need populations and </w:t>
      </w:r>
      <w:r>
        <w:t xml:space="preserve">to </w:t>
      </w:r>
      <w:r w:rsidRPr="00217288">
        <w:t xml:space="preserve">work with physicians to </w:t>
      </w:r>
      <w:r>
        <w:t>en</w:t>
      </w:r>
      <w:r w:rsidRPr="00217288">
        <w:t xml:space="preserve">sure they follow recommended vaccination storage and handling procedures. </w:t>
      </w:r>
    </w:p>
    <w:p w14:paraId="12FC3386" w14:textId="77777777" w:rsidR="00682DDE" w:rsidRPr="00217288" w:rsidRDefault="00682DDE" w:rsidP="00682DDE">
      <w:pPr>
        <w:pStyle w:val="ListParagraph"/>
        <w:numPr>
          <w:ilvl w:val="0"/>
          <w:numId w:val="14"/>
        </w:numPr>
        <w:spacing w:after="0" w:line="240" w:lineRule="auto"/>
      </w:pPr>
      <w:r w:rsidRPr="00217288">
        <w:t xml:space="preserve">The 317 Immunization Program is critical to the federal, state, and local support structure that ensures effective, safe and timely vaccination. </w:t>
      </w:r>
    </w:p>
    <w:p w14:paraId="70515F31" w14:textId="77777777" w:rsidR="00682DDE" w:rsidRPr="00217288" w:rsidRDefault="00682DDE" w:rsidP="00682DDE">
      <w:pPr>
        <w:pStyle w:val="ListParagraph"/>
        <w:numPr>
          <w:ilvl w:val="0"/>
          <w:numId w:val="14"/>
        </w:numPr>
        <w:spacing w:after="0" w:line="240" w:lineRule="auto"/>
      </w:pPr>
      <w:r w:rsidRPr="00217288">
        <w:t>This discretionary program provides the essential infrastructure to deliver the Vaccines for Children (VFC) program, provide vaccines purchased with 317 Immunization funding</w:t>
      </w:r>
      <w:r>
        <w:t>,</w:t>
      </w:r>
      <w:r w:rsidRPr="00217288">
        <w:t xml:space="preserve"> and respond to disease outbreaks. </w:t>
      </w:r>
    </w:p>
    <w:p w14:paraId="7CBDBE87" w14:textId="77777777" w:rsidR="00682DDE" w:rsidRPr="00217288" w:rsidRDefault="00682DDE" w:rsidP="00682DDE">
      <w:pPr>
        <w:pStyle w:val="ListParagraph"/>
        <w:numPr>
          <w:ilvl w:val="0"/>
          <w:numId w:val="14"/>
        </w:numPr>
        <w:spacing w:after="0" w:line="240" w:lineRule="auto"/>
        <w:rPr>
          <w:rFonts w:cstheme="minorHAnsi"/>
        </w:rPr>
      </w:pPr>
      <w:r w:rsidRPr="00217288">
        <w:rPr>
          <w:rFonts w:cstheme="minorHAnsi"/>
          <w:bCs/>
        </w:rPr>
        <w:t xml:space="preserve">Immunization </w:t>
      </w:r>
      <w:r>
        <w:rPr>
          <w:rFonts w:cstheme="minorHAnsi"/>
          <w:bCs/>
        </w:rPr>
        <w:t>funding can be used to address vaccine-preventable disease</w:t>
      </w:r>
      <w:r w:rsidRPr="00217288">
        <w:rPr>
          <w:rFonts w:cstheme="minorHAnsi"/>
          <w:bCs/>
        </w:rPr>
        <w:t xml:space="preserve"> outbreaks:</w:t>
      </w:r>
    </w:p>
    <w:p w14:paraId="16433842" w14:textId="77777777" w:rsidR="00682DDE" w:rsidRPr="00217288" w:rsidRDefault="00682DDE" w:rsidP="00682DDE">
      <w:pPr>
        <w:pStyle w:val="ListParagraph"/>
        <w:numPr>
          <w:ilvl w:val="1"/>
          <w:numId w:val="14"/>
        </w:numPr>
        <w:spacing w:after="0" w:line="240" w:lineRule="auto"/>
        <w:rPr>
          <w:rFonts w:cstheme="minorHAnsi"/>
        </w:rPr>
      </w:pPr>
      <w:r w:rsidRPr="00217288">
        <w:rPr>
          <w:rFonts w:cstheme="minorHAnsi"/>
        </w:rPr>
        <w:t>From January 1 to January 28, 2017, 27 states in the U.S. reported mumps infections in 495 people to CDC.</w:t>
      </w:r>
    </w:p>
    <w:p w14:paraId="2BD1EF27" w14:textId="77777777" w:rsidR="00682DDE" w:rsidRPr="00217288" w:rsidRDefault="00682DDE" w:rsidP="00682DDE">
      <w:pPr>
        <w:pStyle w:val="ListParagraph"/>
        <w:numPr>
          <w:ilvl w:val="1"/>
          <w:numId w:val="14"/>
        </w:numPr>
        <w:spacing w:after="0" w:line="240" w:lineRule="auto"/>
        <w:rPr>
          <w:rFonts w:cstheme="minorHAnsi"/>
        </w:rPr>
      </w:pPr>
      <w:r w:rsidRPr="00217288">
        <w:rPr>
          <w:rFonts w:cstheme="minorHAnsi"/>
        </w:rPr>
        <w:t xml:space="preserve">From January 1 to January 28, 2017, 23 people from 6 states (California, Colorado, Florida, New Jersey, New York, and Pennsylvania) were reported to have measles. The U.S. </w:t>
      </w:r>
      <w:r w:rsidRPr="00217288">
        <w:rPr>
          <w:rFonts w:cstheme="minorHAnsi"/>
          <w:bCs/>
        </w:rPr>
        <w:t xml:space="preserve">experienced 23 measles outbreaks in 2014 resulting in a record number of measles cases - 600. </w:t>
      </w:r>
    </w:p>
    <w:p w14:paraId="2FD08755" w14:textId="77777777" w:rsidR="00682DDE" w:rsidRPr="00217288" w:rsidRDefault="00682DDE" w:rsidP="00682DDE">
      <w:pPr>
        <w:pStyle w:val="ListParagraph"/>
        <w:numPr>
          <w:ilvl w:val="1"/>
          <w:numId w:val="14"/>
        </w:numPr>
        <w:spacing w:after="0" w:line="240" w:lineRule="auto"/>
        <w:rPr>
          <w:rFonts w:cstheme="minorHAnsi"/>
        </w:rPr>
      </w:pPr>
      <w:r w:rsidRPr="00217288">
        <w:rPr>
          <w:rFonts w:cstheme="minorHAnsi"/>
          <w:bCs/>
        </w:rPr>
        <w:lastRenderedPageBreak/>
        <w:t>There have also been outbreaks of Whooping Cough in recent years. In 2014, nearly 33,000 cases of whooping cough</w:t>
      </w:r>
      <w:r>
        <w:rPr>
          <w:rFonts w:cstheme="minorHAnsi"/>
          <w:bCs/>
        </w:rPr>
        <w:t xml:space="preserve"> were</w:t>
      </w:r>
      <w:r w:rsidRPr="00217288">
        <w:rPr>
          <w:rFonts w:cstheme="minorHAnsi"/>
          <w:bCs/>
        </w:rPr>
        <w:t xml:space="preserve"> reported.</w:t>
      </w:r>
    </w:p>
    <w:p w14:paraId="09C6B953" w14:textId="57A7BFA2" w:rsidR="00C90ACE" w:rsidRDefault="00682DDE" w:rsidP="00364D14">
      <w:pPr>
        <w:pStyle w:val="ListParagraph"/>
        <w:numPr>
          <w:ilvl w:val="0"/>
          <w:numId w:val="14"/>
        </w:numPr>
        <w:spacing w:after="0" w:line="240" w:lineRule="auto"/>
      </w:pPr>
      <w:r w:rsidRPr="00217288">
        <w:t>Immunizations continue to be one of the most cost-effective public health interventions. According to CDC, childhood vaccines save $10.20 for every $1 invested.</w:t>
      </w:r>
    </w:p>
    <w:p w14:paraId="596F8C9B" w14:textId="77777777" w:rsidR="00B1367C" w:rsidRPr="00B1367C" w:rsidRDefault="00B1367C" w:rsidP="00B1367C">
      <w:pPr>
        <w:pStyle w:val="ListParagraph"/>
        <w:spacing w:after="0" w:line="240" w:lineRule="auto"/>
        <w:ind w:left="360"/>
      </w:pPr>
    </w:p>
    <w:p w14:paraId="7506D0E5" w14:textId="37FC905A" w:rsidR="00C76A47" w:rsidRPr="00364D14" w:rsidRDefault="00364D14" w:rsidP="00364D14">
      <w:pPr>
        <w:rPr>
          <w:b/>
          <w:i/>
          <w:color w:val="4F81BD" w:themeColor="accent1"/>
        </w:rPr>
      </w:pPr>
      <w:r w:rsidRPr="00364D14">
        <w:rPr>
          <w:b/>
          <w:color w:val="4F81BD" w:themeColor="accent1"/>
          <w:u w:val="single"/>
        </w:rPr>
        <w:t>Childhood Lead Poisoning Prevention Program</w:t>
      </w:r>
      <w:r w:rsidRPr="00364D14">
        <w:rPr>
          <w:b/>
          <w:color w:val="4F81BD" w:themeColor="accent1"/>
          <w:u w:val="single"/>
        </w:rPr>
        <w:br/>
      </w:r>
      <w:r w:rsidR="00C76A47">
        <w:rPr>
          <w:b/>
          <w:i/>
          <w:color w:val="4F81BD" w:themeColor="accent1"/>
        </w:rPr>
        <w:t>FY2017</w:t>
      </w:r>
      <w:r w:rsidRPr="00364D14">
        <w:rPr>
          <w:b/>
          <w:i/>
          <w:color w:val="4F81BD" w:themeColor="accent1"/>
        </w:rPr>
        <w:t>: $17 million</w:t>
      </w:r>
      <w:r w:rsidR="00F9580B">
        <w:rPr>
          <w:b/>
          <w:i/>
          <w:color w:val="4F81BD" w:themeColor="accent1"/>
        </w:rPr>
        <w:t xml:space="preserve"> (full amount PPHF</w:t>
      </w:r>
      <w:proofErr w:type="gramStart"/>
      <w:r w:rsidR="00F9580B">
        <w:rPr>
          <w:b/>
          <w:i/>
          <w:color w:val="4F81BD" w:themeColor="accent1"/>
        </w:rPr>
        <w:t>)</w:t>
      </w:r>
      <w:proofErr w:type="gramEnd"/>
      <w:r w:rsidRPr="00364D14">
        <w:rPr>
          <w:b/>
          <w:i/>
          <w:color w:val="4F81BD" w:themeColor="accent1"/>
        </w:rPr>
        <w:br/>
        <w:t xml:space="preserve">FY2018 NACCHO Request: $17 million </w:t>
      </w:r>
      <w:r w:rsidR="00C76A47">
        <w:rPr>
          <w:b/>
          <w:i/>
          <w:color w:val="4F81BD" w:themeColor="accent1"/>
        </w:rPr>
        <w:br/>
        <w:t>FY2018 President’s Budget: $17 million</w:t>
      </w:r>
    </w:p>
    <w:p w14:paraId="452A252D" w14:textId="65047CF7" w:rsidR="00364D14" w:rsidRPr="00364D14" w:rsidRDefault="00364D14" w:rsidP="00364D14">
      <w:pPr>
        <w:numPr>
          <w:ilvl w:val="0"/>
          <w:numId w:val="14"/>
        </w:numPr>
        <w:spacing w:after="0"/>
      </w:pPr>
      <w:r w:rsidRPr="00364D14">
        <w:t xml:space="preserve">CDC’s </w:t>
      </w:r>
      <w:r w:rsidRPr="00F9580B">
        <w:t>Childhood Lead Poisoning Prevention</w:t>
      </w:r>
      <w:r w:rsidRPr="00364D14">
        <w:t xml:space="preserve"> program funds 29 state and 6 local health departments to identify families with harmful exposure to lead, track incidence and causes, inspect homes and remove environmental threats, connect children with appropriate services and educate the public and health care providers. </w:t>
      </w:r>
    </w:p>
    <w:p w14:paraId="7CE0F600" w14:textId="118DBEC5" w:rsidR="00364D14" w:rsidRPr="00364D14" w:rsidRDefault="00364D14" w:rsidP="00364D14">
      <w:pPr>
        <w:numPr>
          <w:ilvl w:val="0"/>
          <w:numId w:val="14"/>
        </w:numPr>
        <w:spacing w:after="0"/>
      </w:pPr>
      <w:r w:rsidRPr="00364D14">
        <w:t xml:space="preserve">In FY2011, the Childhood Lead Poisoning Prevention program received $29 million. </w:t>
      </w:r>
      <w:r w:rsidRPr="00364D14">
        <w:rPr>
          <w:b/>
        </w:rPr>
        <w:t xml:space="preserve">In FY2012, the program was virtually eliminated. </w:t>
      </w:r>
      <w:r w:rsidRPr="00364D14">
        <w:t>Though some cu</w:t>
      </w:r>
      <w:r w:rsidR="00C854AD">
        <w:t>ts have been restored, in FY2017</w:t>
      </w:r>
      <w:r w:rsidRPr="00364D14">
        <w:t xml:space="preserve">, the program is still 41% below FY2011 levels. </w:t>
      </w:r>
    </w:p>
    <w:p w14:paraId="5D4A6937" w14:textId="6754BFB1" w:rsidR="00364D14" w:rsidRPr="00364D14" w:rsidRDefault="00364D14" w:rsidP="00364D14">
      <w:pPr>
        <w:numPr>
          <w:ilvl w:val="0"/>
          <w:numId w:val="14"/>
        </w:numPr>
        <w:spacing w:after="0"/>
      </w:pPr>
      <w:r w:rsidRPr="00364D14">
        <w:t>All of the Childhood Lead Poisoning funding came from the Prevention and Public Health Fund (PPHF). With</w:t>
      </w:r>
      <w:r>
        <w:t xml:space="preserve"> the possibility of</w:t>
      </w:r>
      <w:r w:rsidRPr="00364D14">
        <w:t xml:space="preserve"> PPHF elimination</w:t>
      </w:r>
      <w:r>
        <w:t>,</w:t>
      </w:r>
      <w:r w:rsidRPr="00364D14">
        <w:t xml:space="preserve"> emphasize funding for this CDC program.</w:t>
      </w:r>
    </w:p>
    <w:p w14:paraId="0AB34FB4" w14:textId="77777777" w:rsidR="00364D14" w:rsidRPr="00364D14" w:rsidRDefault="00364D14" w:rsidP="00364D14">
      <w:pPr>
        <w:numPr>
          <w:ilvl w:val="0"/>
          <w:numId w:val="14"/>
        </w:numPr>
        <w:spacing w:after="0"/>
      </w:pPr>
      <w:r w:rsidRPr="00364D14">
        <w:t xml:space="preserve">Lead poisoning can lead to irreversible effects to a child’s IQ, which can result in learning disabilities, the need for mental health services, special education, and an increase in juvenile delinquency. </w:t>
      </w:r>
    </w:p>
    <w:p w14:paraId="1C057560" w14:textId="77777777" w:rsidR="00364D14" w:rsidRPr="00364D14" w:rsidRDefault="00364D14" w:rsidP="00364D14">
      <w:pPr>
        <w:numPr>
          <w:ilvl w:val="0"/>
          <w:numId w:val="14"/>
        </w:numPr>
        <w:spacing w:after="0"/>
      </w:pPr>
      <w:r w:rsidRPr="00364D14">
        <w:t>Children under the age of six are especially vulnerable to lead poisoning.</w:t>
      </w:r>
    </w:p>
    <w:p w14:paraId="18749435" w14:textId="77777777" w:rsidR="00364D14" w:rsidRPr="00364D14" w:rsidRDefault="00364D14" w:rsidP="00364D14">
      <w:pPr>
        <w:numPr>
          <w:ilvl w:val="0"/>
          <w:numId w:val="14"/>
        </w:numPr>
        <w:spacing w:after="0"/>
      </w:pPr>
      <w:r w:rsidRPr="00364D14">
        <w:t xml:space="preserve">Over half a million children have blood lead levels high enough to threaten their health. </w:t>
      </w:r>
    </w:p>
    <w:p w14:paraId="4B666ECC" w14:textId="77777777" w:rsidR="00364D14" w:rsidRPr="00364D14" w:rsidRDefault="00364D14" w:rsidP="00364D14">
      <w:pPr>
        <w:numPr>
          <w:ilvl w:val="0"/>
          <w:numId w:val="14"/>
        </w:numPr>
        <w:spacing w:after="0"/>
      </w:pPr>
      <w:r w:rsidRPr="00364D14">
        <w:t>Educational system costs are estimated at $38,000 over three years per child with special education needs to due to lead poisoning</w:t>
      </w:r>
    </w:p>
    <w:p w14:paraId="57B51C13" w14:textId="77777777" w:rsidR="00364D14" w:rsidRDefault="00364D14" w:rsidP="00E9652E">
      <w:pPr>
        <w:spacing w:after="0"/>
      </w:pPr>
    </w:p>
    <w:p w14:paraId="11643E20" w14:textId="77777777" w:rsidR="00E9652E" w:rsidRPr="00E9652E" w:rsidRDefault="00E9652E" w:rsidP="00E9652E">
      <w:pPr>
        <w:spacing w:after="0"/>
        <w:rPr>
          <w:b/>
          <w:i/>
          <w:color w:val="4F81BD" w:themeColor="accent1"/>
          <w:u w:val="single"/>
        </w:rPr>
      </w:pPr>
      <w:r w:rsidRPr="00E9652E">
        <w:rPr>
          <w:b/>
          <w:i/>
          <w:color w:val="4F81BD" w:themeColor="accent1"/>
          <w:u w:val="single"/>
        </w:rPr>
        <w:t xml:space="preserve">Preventive Health and Health Services (PHHS) Block Grant </w:t>
      </w:r>
    </w:p>
    <w:p w14:paraId="4DB018F5" w14:textId="384A44FC" w:rsidR="00E9652E" w:rsidRPr="00E9652E" w:rsidRDefault="00E9652E" w:rsidP="00E9652E">
      <w:pPr>
        <w:spacing w:after="0"/>
        <w:rPr>
          <w:b/>
          <w:i/>
          <w:color w:val="4F81BD" w:themeColor="accent1"/>
        </w:rPr>
      </w:pPr>
      <w:r w:rsidRPr="00E9652E">
        <w:rPr>
          <w:b/>
          <w:i/>
          <w:color w:val="4F81BD" w:themeColor="accent1"/>
        </w:rPr>
        <w:t>FY201</w:t>
      </w:r>
      <w:r w:rsidR="00C76A47">
        <w:rPr>
          <w:b/>
          <w:i/>
          <w:color w:val="4F81BD" w:themeColor="accent1"/>
        </w:rPr>
        <w:t>7</w:t>
      </w:r>
      <w:r w:rsidRPr="00E9652E">
        <w:rPr>
          <w:b/>
          <w:i/>
          <w:color w:val="4F81BD" w:themeColor="accent1"/>
        </w:rPr>
        <w:t>: $160 million (Full amount PPHF)</w:t>
      </w:r>
    </w:p>
    <w:p w14:paraId="40165D50" w14:textId="2172F9F5" w:rsidR="00E9652E" w:rsidRDefault="00E9652E" w:rsidP="00E9652E">
      <w:pPr>
        <w:spacing w:after="0"/>
        <w:rPr>
          <w:b/>
          <w:i/>
          <w:color w:val="4F81BD" w:themeColor="accent1"/>
        </w:rPr>
      </w:pPr>
      <w:r w:rsidRPr="00E9652E">
        <w:rPr>
          <w:b/>
          <w:i/>
          <w:color w:val="4F81BD" w:themeColor="accent1"/>
        </w:rPr>
        <w:t>FY2018 NACCHO Request: $170 million</w:t>
      </w:r>
    </w:p>
    <w:p w14:paraId="14454F71" w14:textId="0A34B5EF" w:rsidR="00C76A47" w:rsidRPr="00E9652E" w:rsidRDefault="00C76A47" w:rsidP="00E9652E">
      <w:pPr>
        <w:spacing w:after="0"/>
        <w:rPr>
          <w:b/>
          <w:i/>
          <w:color w:val="4F81BD" w:themeColor="accent1"/>
        </w:rPr>
      </w:pPr>
      <w:r>
        <w:rPr>
          <w:b/>
          <w:i/>
          <w:color w:val="4F81BD" w:themeColor="accent1"/>
        </w:rPr>
        <w:t>FY2018 President’s Budget: eliminated</w:t>
      </w:r>
    </w:p>
    <w:p w14:paraId="5BDA9F73" w14:textId="77777777" w:rsidR="00E9652E" w:rsidRPr="00E9652E" w:rsidRDefault="00E9652E" w:rsidP="00E9652E">
      <w:pPr>
        <w:numPr>
          <w:ilvl w:val="0"/>
          <w:numId w:val="31"/>
        </w:numPr>
        <w:spacing w:after="0"/>
        <w:rPr>
          <w:u w:val="single"/>
        </w:rPr>
      </w:pPr>
      <w:r w:rsidRPr="00E9652E">
        <w:t>Funds provided through the Preventive Health and Health Services Block Grant are provided to all state health departments and some local health departments in those states.</w:t>
      </w:r>
    </w:p>
    <w:p w14:paraId="6D23DC10" w14:textId="77777777" w:rsidR="00E9652E" w:rsidRPr="00E9652E" w:rsidRDefault="00E9652E" w:rsidP="00E9652E">
      <w:pPr>
        <w:numPr>
          <w:ilvl w:val="0"/>
          <w:numId w:val="31"/>
        </w:numPr>
        <w:spacing w:after="0"/>
        <w:rPr>
          <w:u w:val="single"/>
        </w:rPr>
      </w:pPr>
      <w:r w:rsidRPr="00E9652E">
        <w:t>These flexible funds are critical in allowing state and local health departments to address unmet needs (chronic disease prevention, capacity building, quality improvement, etc.) not sufficiently supported through other CDC funding streams.</w:t>
      </w:r>
    </w:p>
    <w:p w14:paraId="13BE3120" w14:textId="77777777" w:rsidR="00E9652E" w:rsidRPr="00E9652E" w:rsidRDefault="00E9652E" w:rsidP="00E9652E">
      <w:pPr>
        <w:numPr>
          <w:ilvl w:val="0"/>
          <w:numId w:val="31"/>
        </w:numPr>
        <w:spacing w:after="0"/>
      </w:pPr>
      <w:r w:rsidRPr="00E9652E">
        <w:t>This unique funding gives states the autonomy and flexibility to solve state problems and provide similar support to local communities, while still being held accountable for demonstrating the local, state, and national impact of this investment.</w:t>
      </w:r>
    </w:p>
    <w:p w14:paraId="026F4DE7" w14:textId="77777777" w:rsidR="00E9652E" w:rsidRPr="00E9652E" w:rsidRDefault="00E9652E" w:rsidP="00E9652E">
      <w:pPr>
        <w:numPr>
          <w:ilvl w:val="0"/>
          <w:numId w:val="31"/>
        </w:numPr>
        <w:spacing w:after="0"/>
        <w:rPr>
          <w:u w:val="single"/>
        </w:rPr>
      </w:pPr>
      <w:r w:rsidRPr="00E9652E">
        <w:t>More than half of the Preventive Health and Health Services Block Grant goes to address chronic disease priorities.</w:t>
      </w:r>
    </w:p>
    <w:p w14:paraId="030C5004" w14:textId="77777777" w:rsidR="00E9652E" w:rsidRPr="00E9652E" w:rsidRDefault="00E9652E" w:rsidP="00E9652E">
      <w:pPr>
        <w:numPr>
          <w:ilvl w:val="0"/>
          <w:numId w:val="31"/>
        </w:numPr>
        <w:spacing w:after="0"/>
        <w:rPr>
          <w:u w:val="single"/>
        </w:rPr>
      </w:pPr>
      <w:r w:rsidRPr="00E9652E">
        <w:t>These funds can also be used to support core public health capacity in health departments as well as good governance efforts through quality improvement activities and meeting national accreditation standards.</w:t>
      </w:r>
    </w:p>
    <w:p w14:paraId="0A666CAB" w14:textId="77777777" w:rsidR="00E9652E" w:rsidRPr="00F9580B" w:rsidRDefault="00E9652E" w:rsidP="00E9652E">
      <w:pPr>
        <w:numPr>
          <w:ilvl w:val="0"/>
          <w:numId w:val="31"/>
        </w:numPr>
        <w:spacing w:after="0"/>
        <w:rPr>
          <w:color w:val="FF0000"/>
          <w:u w:val="single"/>
        </w:rPr>
      </w:pPr>
      <w:r w:rsidRPr="00F9580B">
        <w:rPr>
          <w:b/>
          <w:color w:val="FF0000"/>
        </w:rPr>
        <w:t>[Describe how you use funds from the grant.]</w:t>
      </w:r>
    </w:p>
    <w:p w14:paraId="76024962" w14:textId="7C15E2DF" w:rsidR="00027CEE" w:rsidRPr="00184C0B" w:rsidRDefault="00E9652E" w:rsidP="00027CEE">
      <w:pPr>
        <w:autoSpaceDE w:val="0"/>
        <w:autoSpaceDN w:val="0"/>
        <w:adjustRightInd w:val="0"/>
        <w:spacing w:after="0" w:line="240" w:lineRule="auto"/>
        <w:rPr>
          <w:rFonts w:cstheme="minorHAnsi"/>
          <w:b/>
          <w:color w:val="4F81BD" w:themeColor="accent1"/>
          <w:u w:val="single"/>
        </w:rPr>
      </w:pPr>
      <w:r>
        <w:rPr>
          <w:rFonts w:cstheme="minorHAnsi"/>
          <w:b/>
          <w:color w:val="4F81BD" w:themeColor="accent1"/>
          <w:u w:val="single"/>
        </w:rPr>
        <w:br/>
      </w:r>
      <w:r w:rsidR="00027CEE" w:rsidRPr="00184C0B">
        <w:rPr>
          <w:rFonts w:cstheme="minorHAnsi"/>
          <w:b/>
          <w:color w:val="4F81BD" w:themeColor="accent1"/>
          <w:u w:val="single"/>
        </w:rPr>
        <w:t>Importance of Medicaid</w:t>
      </w:r>
    </w:p>
    <w:p w14:paraId="50C62571" w14:textId="77777777" w:rsidR="00027CEE" w:rsidRDefault="00027CEE" w:rsidP="00027CEE">
      <w:pPr>
        <w:pStyle w:val="ListParagraph"/>
        <w:numPr>
          <w:ilvl w:val="0"/>
          <w:numId w:val="42"/>
        </w:numPr>
        <w:autoSpaceDE w:val="0"/>
        <w:autoSpaceDN w:val="0"/>
        <w:adjustRightInd w:val="0"/>
        <w:spacing w:after="0" w:line="240" w:lineRule="auto"/>
        <w:rPr>
          <w:rFonts w:cstheme="minorHAnsi"/>
        </w:rPr>
      </w:pPr>
      <w:r>
        <w:rPr>
          <w:rFonts w:cstheme="minorHAnsi"/>
        </w:rPr>
        <w:t>Local governments</w:t>
      </w:r>
      <w:r w:rsidRPr="006B3AB1">
        <w:rPr>
          <w:rFonts w:cstheme="minorHAnsi"/>
        </w:rPr>
        <w:t xml:space="preserve"> deliver Medicaid-eligible services through </w:t>
      </w:r>
      <w:r>
        <w:rPr>
          <w:rFonts w:cstheme="minorHAnsi"/>
        </w:rPr>
        <w:t xml:space="preserve">local </w:t>
      </w:r>
      <w:r w:rsidRPr="006B3AB1">
        <w:rPr>
          <w:rFonts w:cstheme="minorHAnsi"/>
        </w:rPr>
        <w:t>health departments</w:t>
      </w:r>
      <w:r>
        <w:rPr>
          <w:rFonts w:cstheme="minorHAnsi"/>
        </w:rPr>
        <w:t>,</w:t>
      </w:r>
      <w:r w:rsidRPr="006B3AB1">
        <w:rPr>
          <w:rFonts w:cstheme="minorHAnsi"/>
        </w:rPr>
        <w:t xml:space="preserve"> hospitals, long-term care facilities</w:t>
      </w:r>
      <w:r>
        <w:rPr>
          <w:rFonts w:cstheme="minorHAnsi"/>
        </w:rPr>
        <w:t xml:space="preserve"> and</w:t>
      </w:r>
      <w:r w:rsidRPr="006B3AB1">
        <w:rPr>
          <w:rFonts w:cstheme="minorHAnsi"/>
        </w:rPr>
        <w:t xml:space="preserve"> behavioral health authorities</w:t>
      </w:r>
      <w:r>
        <w:rPr>
          <w:rFonts w:cstheme="minorHAnsi"/>
        </w:rPr>
        <w:t>.</w:t>
      </w:r>
    </w:p>
    <w:p w14:paraId="5C974F2B" w14:textId="77777777" w:rsidR="00027CEE" w:rsidRDefault="00027CEE" w:rsidP="00027CEE">
      <w:pPr>
        <w:pStyle w:val="ListParagraph"/>
        <w:numPr>
          <w:ilvl w:val="0"/>
          <w:numId w:val="42"/>
        </w:numPr>
        <w:autoSpaceDE w:val="0"/>
        <w:autoSpaceDN w:val="0"/>
        <w:adjustRightInd w:val="0"/>
        <w:spacing w:after="0" w:line="240" w:lineRule="auto"/>
        <w:rPr>
          <w:rFonts w:cstheme="minorHAnsi"/>
        </w:rPr>
      </w:pPr>
      <w:r>
        <w:rPr>
          <w:rFonts w:cstheme="minorHAnsi"/>
        </w:rPr>
        <w:t>The expansion of Medicaid coverage has improved access to primary and preventive health care in many states.</w:t>
      </w:r>
    </w:p>
    <w:p w14:paraId="33C50CC6" w14:textId="77777777" w:rsidR="00027CEE" w:rsidRDefault="00027CEE" w:rsidP="00027CEE">
      <w:pPr>
        <w:pStyle w:val="ListParagraph"/>
        <w:numPr>
          <w:ilvl w:val="0"/>
          <w:numId w:val="42"/>
        </w:numPr>
        <w:autoSpaceDE w:val="0"/>
        <w:autoSpaceDN w:val="0"/>
        <w:adjustRightInd w:val="0"/>
        <w:spacing w:after="0" w:line="240" w:lineRule="auto"/>
        <w:rPr>
          <w:rFonts w:cstheme="minorHAnsi"/>
        </w:rPr>
      </w:pPr>
      <w:r>
        <w:rPr>
          <w:rFonts w:cstheme="minorHAnsi"/>
        </w:rPr>
        <w:lastRenderedPageBreak/>
        <w:t>Block granting or implementing a per capita cap on Medicaid will weaken the ability of local communities to keep people healthy.</w:t>
      </w:r>
    </w:p>
    <w:p w14:paraId="2987CDD7" w14:textId="77777777" w:rsidR="00027CEE" w:rsidRDefault="00027CEE" w:rsidP="00027CEE">
      <w:pPr>
        <w:pStyle w:val="ListParagraph"/>
        <w:numPr>
          <w:ilvl w:val="1"/>
          <w:numId w:val="42"/>
        </w:numPr>
        <w:autoSpaceDE w:val="0"/>
        <w:autoSpaceDN w:val="0"/>
        <w:adjustRightInd w:val="0"/>
        <w:spacing w:after="0" w:line="240" w:lineRule="auto"/>
        <w:rPr>
          <w:rFonts w:cstheme="minorHAnsi"/>
        </w:rPr>
      </w:pPr>
      <w:r w:rsidRPr="006B3AB1">
        <w:rPr>
          <w:rFonts w:cstheme="minorHAnsi"/>
        </w:rPr>
        <w:t>Any reforms to Medicaid should</w:t>
      </w:r>
      <w:r>
        <w:rPr>
          <w:rFonts w:cstheme="minorHAnsi"/>
        </w:rPr>
        <w:t>:</w:t>
      </w:r>
    </w:p>
    <w:p w14:paraId="59F076A3" w14:textId="77777777" w:rsidR="00027CEE" w:rsidRPr="00276328" w:rsidRDefault="00027CEE" w:rsidP="00027CEE">
      <w:pPr>
        <w:pStyle w:val="ListParagraph"/>
        <w:numPr>
          <w:ilvl w:val="2"/>
          <w:numId w:val="42"/>
        </w:numPr>
        <w:autoSpaceDE w:val="0"/>
        <w:autoSpaceDN w:val="0"/>
        <w:adjustRightInd w:val="0"/>
        <w:spacing w:after="0" w:line="240" w:lineRule="auto"/>
        <w:rPr>
          <w:rFonts w:cstheme="minorHAnsi"/>
        </w:rPr>
      </w:pPr>
      <w:r>
        <w:t>Support the federal-state-local partnership structure for financing and delivering Medicaid services</w:t>
      </w:r>
      <w:r w:rsidRPr="006B3AB1">
        <w:t xml:space="preserve"> </w:t>
      </w:r>
      <w:r>
        <w:t xml:space="preserve">and not further shift federal and state Medicaid costs to counties. </w:t>
      </w:r>
    </w:p>
    <w:p w14:paraId="305C5482" w14:textId="6A1C6152" w:rsidR="00B70048" w:rsidRPr="00682DDE" w:rsidRDefault="00027CEE" w:rsidP="00751FA0">
      <w:pPr>
        <w:pStyle w:val="ListParagraph"/>
        <w:numPr>
          <w:ilvl w:val="2"/>
          <w:numId w:val="42"/>
        </w:numPr>
        <w:autoSpaceDE w:val="0"/>
        <w:autoSpaceDN w:val="0"/>
        <w:adjustRightInd w:val="0"/>
        <w:spacing w:after="0" w:line="240" w:lineRule="auto"/>
        <w:rPr>
          <w:rFonts w:cstheme="minorHAnsi"/>
          <w:b/>
          <w:color w:val="4F81BD" w:themeColor="accent1"/>
          <w:u w:val="single"/>
        </w:rPr>
      </w:pPr>
      <w:r w:rsidRPr="00682DDE">
        <w:rPr>
          <w:rFonts w:cstheme="minorHAnsi"/>
        </w:rPr>
        <w:t>Preserve incentives to cover clinical preventive services in Medicaid.</w:t>
      </w:r>
    </w:p>
    <w:sectPr w:rsidR="00B70048" w:rsidRPr="00682DDE" w:rsidSect="00621996">
      <w:headerReference w:type="default" r:id="rId8"/>
      <w:footerReference w:type="default" r:id="rId9"/>
      <w:headerReference w:type="first" r:id="rId10"/>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39FDE" w14:textId="77777777" w:rsidR="00AF0320" w:rsidRDefault="00AF0320" w:rsidP="0050335B">
      <w:pPr>
        <w:spacing w:after="0" w:line="240" w:lineRule="auto"/>
      </w:pPr>
      <w:r>
        <w:separator/>
      </w:r>
    </w:p>
  </w:endnote>
  <w:endnote w:type="continuationSeparator" w:id="0">
    <w:p w14:paraId="5988D80C" w14:textId="77777777" w:rsidR="00AF0320" w:rsidRDefault="00AF0320" w:rsidP="0050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21876"/>
      <w:docPartObj>
        <w:docPartGallery w:val="Page Numbers (Bottom of Page)"/>
        <w:docPartUnique/>
      </w:docPartObj>
    </w:sdtPr>
    <w:sdtEndPr>
      <w:rPr>
        <w:noProof/>
      </w:rPr>
    </w:sdtEndPr>
    <w:sdtContent>
      <w:p w14:paraId="48168CC5" w14:textId="77777777" w:rsidR="00A72402" w:rsidRDefault="00A72402">
        <w:pPr>
          <w:pStyle w:val="Footer"/>
          <w:jc w:val="center"/>
        </w:pPr>
        <w:r>
          <w:fldChar w:fldCharType="begin"/>
        </w:r>
        <w:r>
          <w:instrText xml:space="preserve"> PAGE   \* MERGEFORMAT </w:instrText>
        </w:r>
        <w:r>
          <w:fldChar w:fldCharType="separate"/>
        </w:r>
        <w:r w:rsidR="00BB2759">
          <w:rPr>
            <w:noProof/>
          </w:rPr>
          <w:t>5</w:t>
        </w:r>
        <w:r>
          <w:rPr>
            <w:noProof/>
          </w:rPr>
          <w:fldChar w:fldCharType="end"/>
        </w:r>
      </w:p>
    </w:sdtContent>
  </w:sdt>
  <w:p w14:paraId="24234BF7" w14:textId="77777777" w:rsidR="00A72402" w:rsidRDefault="00A7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4A248" w14:textId="77777777" w:rsidR="00AF0320" w:rsidRDefault="00AF0320" w:rsidP="0050335B">
      <w:pPr>
        <w:spacing w:after="0" w:line="240" w:lineRule="auto"/>
      </w:pPr>
      <w:r>
        <w:separator/>
      </w:r>
    </w:p>
  </w:footnote>
  <w:footnote w:type="continuationSeparator" w:id="0">
    <w:p w14:paraId="57A18D4C" w14:textId="77777777" w:rsidR="00AF0320" w:rsidRDefault="00AF0320" w:rsidP="00503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7525" w14:textId="7D8B1160" w:rsidR="00A72402" w:rsidRDefault="00D7233C" w:rsidP="00CD415D">
    <w:pPr>
      <w:spacing w:after="0" w:line="240" w:lineRule="auto"/>
      <w:rPr>
        <w:i/>
        <w:iCs/>
        <w:sz w:val="24"/>
        <w:szCs w:val="24"/>
      </w:rPr>
    </w:pPr>
    <w:r>
      <w:rPr>
        <w:i/>
        <w:iCs/>
        <w:sz w:val="24"/>
        <w:szCs w:val="24"/>
      </w:rPr>
      <w:t xml:space="preserve">NACCHO </w:t>
    </w:r>
    <w:r w:rsidR="000D3DC8">
      <w:rPr>
        <w:i/>
        <w:iCs/>
        <w:sz w:val="24"/>
        <w:szCs w:val="24"/>
      </w:rPr>
      <w:t>Talking P</w:t>
    </w:r>
    <w:r w:rsidR="00956BEA">
      <w:rPr>
        <w:i/>
        <w:iCs/>
        <w:sz w:val="24"/>
        <w:szCs w:val="24"/>
      </w:rPr>
      <w:t xml:space="preserve">oints </w:t>
    </w:r>
    <w:r>
      <w:rPr>
        <w:i/>
        <w:iCs/>
        <w:sz w:val="24"/>
        <w:szCs w:val="24"/>
      </w:rPr>
      <w:t xml:space="preserve">– </w:t>
    </w:r>
    <w:r w:rsidR="008660CA">
      <w:rPr>
        <w:i/>
        <w:iCs/>
        <w:sz w:val="24"/>
        <w:szCs w:val="24"/>
      </w:rPr>
      <w:t>March</w:t>
    </w:r>
    <w:r>
      <w:rPr>
        <w:i/>
        <w:iCs/>
        <w:sz w:val="24"/>
        <w:szCs w:val="24"/>
      </w:rPr>
      <w:t xml:space="preserve"> 201</w:t>
    </w:r>
    <w:r w:rsidR="008660CA">
      <w:rPr>
        <w:i/>
        <w:iCs/>
        <w:sz w:val="24"/>
        <w:szCs w:val="24"/>
      </w:rPr>
      <w:t>7</w:t>
    </w:r>
  </w:p>
  <w:p w14:paraId="2B92D4E6" w14:textId="77777777" w:rsidR="00956BEA" w:rsidRPr="00CD415D" w:rsidRDefault="00956BEA" w:rsidP="00CD415D">
    <w:pPr>
      <w:spacing w:after="0" w:line="240" w:lineRule="auto"/>
      <w:rPr>
        <w:i/>
        <w:i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635E" w14:textId="6E7EB942" w:rsidR="00956BEA" w:rsidRPr="00A05564" w:rsidRDefault="00956BEA" w:rsidP="00956BEA">
    <w:pPr>
      <w:spacing w:after="0" w:line="240" w:lineRule="auto"/>
      <w:rPr>
        <w:b/>
        <w:i/>
        <w:iCs/>
        <w:color w:val="FF0000"/>
        <w:sz w:val="24"/>
        <w:szCs w:val="24"/>
      </w:rPr>
    </w:pPr>
    <w:r w:rsidRPr="00A05564">
      <w:rPr>
        <w:b/>
        <w:i/>
        <w:iCs/>
        <w:color w:val="FF0000"/>
        <w:sz w:val="24"/>
        <w:szCs w:val="24"/>
      </w:rPr>
      <w:t>Do not distribute these talking points to Members of Congress or their staff.</w:t>
    </w:r>
  </w:p>
  <w:p w14:paraId="40DFE198" w14:textId="77777777" w:rsidR="00956BEA" w:rsidRDefault="00956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4E2"/>
    <w:multiLevelType w:val="hybridMultilevel"/>
    <w:tmpl w:val="231C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701C"/>
    <w:multiLevelType w:val="hybridMultilevel"/>
    <w:tmpl w:val="B06007EE"/>
    <w:lvl w:ilvl="0" w:tplc="83B8AE3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D0DA5"/>
    <w:multiLevelType w:val="hybridMultilevel"/>
    <w:tmpl w:val="BEEA973A"/>
    <w:lvl w:ilvl="0" w:tplc="04090001">
      <w:start w:val="1"/>
      <w:numFmt w:val="bullet"/>
      <w:lvlText w:val=""/>
      <w:lvlJc w:val="left"/>
      <w:pPr>
        <w:tabs>
          <w:tab w:val="num" w:pos="720"/>
        </w:tabs>
        <w:ind w:left="720" w:hanging="360"/>
      </w:pPr>
      <w:rPr>
        <w:rFonts w:ascii="Symbol" w:hAnsi="Symbol" w:hint="default"/>
      </w:rPr>
    </w:lvl>
    <w:lvl w:ilvl="1" w:tplc="5EF685D2" w:tentative="1">
      <w:start w:val="1"/>
      <w:numFmt w:val="bullet"/>
      <w:lvlText w:val="•"/>
      <w:lvlJc w:val="left"/>
      <w:pPr>
        <w:tabs>
          <w:tab w:val="num" w:pos="1440"/>
        </w:tabs>
        <w:ind w:left="1440" w:hanging="360"/>
      </w:pPr>
      <w:rPr>
        <w:rFonts w:ascii="Arial" w:hAnsi="Arial" w:hint="default"/>
      </w:rPr>
    </w:lvl>
    <w:lvl w:ilvl="2" w:tplc="291EF1FA" w:tentative="1">
      <w:start w:val="1"/>
      <w:numFmt w:val="bullet"/>
      <w:lvlText w:val="•"/>
      <w:lvlJc w:val="left"/>
      <w:pPr>
        <w:tabs>
          <w:tab w:val="num" w:pos="2160"/>
        </w:tabs>
        <w:ind w:left="2160" w:hanging="360"/>
      </w:pPr>
      <w:rPr>
        <w:rFonts w:ascii="Arial" w:hAnsi="Arial" w:hint="default"/>
      </w:rPr>
    </w:lvl>
    <w:lvl w:ilvl="3" w:tplc="C748B4B4" w:tentative="1">
      <w:start w:val="1"/>
      <w:numFmt w:val="bullet"/>
      <w:lvlText w:val="•"/>
      <w:lvlJc w:val="left"/>
      <w:pPr>
        <w:tabs>
          <w:tab w:val="num" w:pos="2880"/>
        </w:tabs>
        <w:ind w:left="2880" w:hanging="360"/>
      </w:pPr>
      <w:rPr>
        <w:rFonts w:ascii="Arial" w:hAnsi="Arial" w:hint="default"/>
      </w:rPr>
    </w:lvl>
    <w:lvl w:ilvl="4" w:tplc="0CD8FA18" w:tentative="1">
      <w:start w:val="1"/>
      <w:numFmt w:val="bullet"/>
      <w:lvlText w:val="•"/>
      <w:lvlJc w:val="left"/>
      <w:pPr>
        <w:tabs>
          <w:tab w:val="num" w:pos="3600"/>
        </w:tabs>
        <w:ind w:left="3600" w:hanging="360"/>
      </w:pPr>
      <w:rPr>
        <w:rFonts w:ascii="Arial" w:hAnsi="Arial" w:hint="default"/>
      </w:rPr>
    </w:lvl>
    <w:lvl w:ilvl="5" w:tplc="F8241F5C" w:tentative="1">
      <w:start w:val="1"/>
      <w:numFmt w:val="bullet"/>
      <w:lvlText w:val="•"/>
      <w:lvlJc w:val="left"/>
      <w:pPr>
        <w:tabs>
          <w:tab w:val="num" w:pos="4320"/>
        </w:tabs>
        <w:ind w:left="4320" w:hanging="360"/>
      </w:pPr>
      <w:rPr>
        <w:rFonts w:ascii="Arial" w:hAnsi="Arial" w:hint="default"/>
      </w:rPr>
    </w:lvl>
    <w:lvl w:ilvl="6" w:tplc="97425CA0" w:tentative="1">
      <w:start w:val="1"/>
      <w:numFmt w:val="bullet"/>
      <w:lvlText w:val="•"/>
      <w:lvlJc w:val="left"/>
      <w:pPr>
        <w:tabs>
          <w:tab w:val="num" w:pos="5040"/>
        </w:tabs>
        <w:ind w:left="5040" w:hanging="360"/>
      </w:pPr>
      <w:rPr>
        <w:rFonts w:ascii="Arial" w:hAnsi="Arial" w:hint="default"/>
      </w:rPr>
    </w:lvl>
    <w:lvl w:ilvl="7" w:tplc="F38ABF6C" w:tentative="1">
      <w:start w:val="1"/>
      <w:numFmt w:val="bullet"/>
      <w:lvlText w:val="•"/>
      <w:lvlJc w:val="left"/>
      <w:pPr>
        <w:tabs>
          <w:tab w:val="num" w:pos="5760"/>
        </w:tabs>
        <w:ind w:left="5760" w:hanging="360"/>
      </w:pPr>
      <w:rPr>
        <w:rFonts w:ascii="Arial" w:hAnsi="Arial" w:hint="default"/>
      </w:rPr>
    </w:lvl>
    <w:lvl w:ilvl="8" w:tplc="2C7E6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1E7003"/>
    <w:multiLevelType w:val="hybridMultilevel"/>
    <w:tmpl w:val="0A48C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76185"/>
    <w:multiLevelType w:val="hybridMultilevel"/>
    <w:tmpl w:val="0E8E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D4699"/>
    <w:multiLevelType w:val="hybridMultilevel"/>
    <w:tmpl w:val="E2D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746B"/>
    <w:multiLevelType w:val="hybridMultilevel"/>
    <w:tmpl w:val="85A8EC3E"/>
    <w:lvl w:ilvl="0" w:tplc="04090001">
      <w:start w:val="1"/>
      <w:numFmt w:val="bullet"/>
      <w:lvlText w:val=""/>
      <w:lvlJc w:val="left"/>
      <w:pPr>
        <w:tabs>
          <w:tab w:val="num" w:pos="720"/>
        </w:tabs>
        <w:ind w:left="720" w:hanging="360"/>
      </w:pPr>
      <w:rPr>
        <w:rFonts w:ascii="Symbol" w:hAnsi="Symbol" w:hint="default"/>
      </w:rPr>
    </w:lvl>
    <w:lvl w:ilvl="1" w:tplc="4F9EB9C6" w:tentative="1">
      <w:start w:val="1"/>
      <w:numFmt w:val="bullet"/>
      <w:lvlText w:val="•"/>
      <w:lvlJc w:val="left"/>
      <w:pPr>
        <w:tabs>
          <w:tab w:val="num" w:pos="1440"/>
        </w:tabs>
        <w:ind w:left="1440" w:hanging="360"/>
      </w:pPr>
      <w:rPr>
        <w:rFonts w:ascii="Arial" w:hAnsi="Arial" w:hint="default"/>
      </w:rPr>
    </w:lvl>
    <w:lvl w:ilvl="2" w:tplc="51F47A34" w:tentative="1">
      <w:start w:val="1"/>
      <w:numFmt w:val="bullet"/>
      <w:lvlText w:val="•"/>
      <w:lvlJc w:val="left"/>
      <w:pPr>
        <w:tabs>
          <w:tab w:val="num" w:pos="2160"/>
        </w:tabs>
        <w:ind w:left="2160" w:hanging="360"/>
      </w:pPr>
      <w:rPr>
        <w:rFonts w:ascii="Arial" w:hAnsi="Arial" w:hint="default"/>
      </w:rPr>
    </w:lvl>
    <w:lvl w:ilvl="3" w:tplc="8864E038" w:tentative="1">
      <w:start w:val="1"/>
      <w:numFmt w:val="bullet"/>
      <w:lvlText w:val="•"/>
      <w:lvlJc w:val="left"/>
      <w:pPr>
        <w:tabs>
          <w:tab w:val="num" w:pos="2880"/>
        </w:tabs>
        <w:ind w:left="2880" w:hanging="360"/>
      </w:pPr>
      <w:rPr>
        <w:rFonts w:ascii="Arial" w:hAnsi="Arial" w:hint="default"/>
      </w:rPr>
    </w:lvl>
    <w:lvl w:ilvl="4" w:tplc="7FEACD64" w:tentative="1">
      <w:start w:val="1"/>
      <w:numFmt w:val="bullet"/>
      <w:lvlText w:val="•"/>
      <w:lvlJc w:val="left"/>
      <w:pPr>
        <w:tabs>
          <w:tab w:val="num" w:pos="3600"/>
        </w:tabs>
        <w:ind w:left="3600" w:hanging="360"/>
      </w:pPr>
      <w:rPr>
        <w:rFonts w:ascii="Arial" w:hAnsi="Arial" w:hint="default"/>
      </w:rPr>
    </w:lvl>
    <w:lvl w:ilvl="5" w:tplc="FFD8ABD2" w:tentative="1">
      <w:start w:val="1"/>
      <w:numFmt w:val="bullet"/>
      <w:lvlText w:val="•"/>
      <w:lvlJc w:val="left"/>
      <w:pPr>
        <w:tabs>
          <w:tab w:val="num" w:pos="4320"/>
        </w:tabs>
        <w:ind w:left="4320" w:hanging="360"/>
      </w:pPr>
      <w:rPr>
        <w:rFonts w:ascii="Arial" w:hAnsi="Arial" w:hint="default"/>
      </w:rPr>
    </w:lvl>
    <w:lvl w:ilvl="6" w:tplc="19983F78" w:tentative="1">
      <w:start w:val="1"/>
      <w:numFmt w:val="bullet"/>
      <w:lvlText w:val="•"/>
      <w:lvlJc w:val="left"/>
      <w:pPr>
        <w:tabs>
          <w:tab w:val="num" w:pos="5040"/>
        </w:tabs>
        <w:ind w:left="5040" w:hanging="360"/>
      </w:pPr>
      <w:rPr>
        <w:rFonts w:ascii="Arial" w:hAnsi="Arial" w:hint="default"/>
      </w:rPr>
    </w:lvl>
    <w:lvl w:ilvl="7" w:tplc="73BC555A" w:tentative="1">
      <w:start w:val="1"/>
      <w:numFmt w:val="bullet"/>
      <w:lvlText w:val="•"/>
      <w:lvlJc w:val="left"/>
      <w:pPr>
        <w:tabs>
          <w:tab w:val="num" w:pos="5760"/>
        </w:tabs>
        <w:ind w:left="5760" w:hanging="360"/>
      </w:pPr>
      <w:rPr>
        <w:rFonts w:ascii="Arial" w:hAnsi="Arial" w:hint="default"/>
      </w:rPr>
    </w:lvl>
    <w:lvl w:ilvl="8" w:tplc="C4F802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D560DB"/>
    <w:multiLevelType w:val="hybridMultilevel"/>
    <w:tmpl w:val="F1EC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23061D"/>
    <w:multiLevelType w:val="hybridMultilevel"/>
    <w:tmpl w:val="F5C89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E22B3F"/>
    <w:multiLevelType w:val="hybridMultilevel"/>
    <w:tmpl w:val="863E5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D2185"/>
    <w:multiLevelType w:val="hybridMultilevel"/>
    <w:tmpl w:val="318E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8D2ED9"/>
    <w:multiLevelType w:val="hybridMultilevel"/>
    <w:tmpl w:val="162E32E8"/>
    <w:lvl w:ilvl="0" w:tplc="D53853F8">
      <w:numFmt w:val="bullet"/>
      <w:lvlText w:val=""/>
      <w:lvlJc w:val="left"/>
      <w:pPr>
        <w:ind w:left="720" w:hanging="36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11794"/>
    <w:multiLevelType w:val="hybridMultilevel"/>
    <w:tmpl w:val="9452B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C162B7"/>
    <w:multiLevelType w:val="hybridMultilevel"/>
    <w:tmpl w:val="AA587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22412E"/>
    <w:multiLevelType w:val="hybridMultilevel"/>
    <w:tmpl w:val="B71A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F3440"/>
    <w:multiLevelType w:val="hybridMultilevel"/>
    <w:tmpl w:val="500094BE"/>
    <w:lvl w:ilvl="0" w:tplc="04090001">
      <w:start w:val="1"/>
      <w:numFmt w:val="bullet"/>
      <w:lvlText w:val=""/>
      <w:lvlJc w:val="left"/>
      <w:pPr>
        <w:ind w:left="720" w:hanging="360"/>
      </w:pPr>
      <w:rPr>
        <w:rFonts w:ascii="Symbol" w:hAnsi="Symbol" w:hint="default"/>
      </w:rPr>
    </w:lvl>
    <w:lvl w:ilvl="1" w:tplc="D5A251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E0575"/>
    <w:multiLevelType w:val="hybridMultilevel"/>
    <w:tmpl w:val="3CC0FB18"/>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15:restartNumberingAfterBreak="0">
    <w:nsid w:val="1A847227"/>
    <w:multiLevelType w:val="hybridMultilevel"/>
    <w:tmpl w:val="3F88B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CB2A95"/>
    <w:multiLevelType w:val="hybridMultilevel"/>
    <w:tmpl w:val="97E48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566925"/>
    <w:multiLevelType w:val="hybridMultilevel"/>
    <w:tmpl w:val="E76A5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EE0D84"/>
    <w:multiLevelType w:val="hybridMultilevel"/>
    <w:tmpl w:val="49B2B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900A87"/>
    <w:multiLevelType w:val="hybridMultilevel"/>
    <w:tmpl w:val="2F74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EA074F"/>
    <w:multiLevelType w:val="hybridMultilevel"/>
    <w:tmpl w:val="0A8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1E4EA1"/>
    <w:multiLevelType w:val="hybridMultilevel"/>
    <w:tmpl w:val="5AA4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9A0A58"/>
    <w:multiLevelType w:val="hybridMultilevel"/>
    <w:tmpl w:val="FBA2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FD65C6"/>
    <w:multiLevelType w:val="hybridMultilevel"/>
    <w:tmpl w:val="58063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E41815"/>
    <w:multiLevelType w:val="hybridMultilevel"/>
    <w:tmpl w:val="457C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8238B"/>
    <w:multiLevelType w:val="hybridMultilevel"/>
    <w:tmpl w:val="AD7C01F2"/>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03F3E68"/>
    <w:multiLevelType w:val="hybridMultilevel"/>
    <w:tmpl w:val="9794A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6E26B0"/>
    <w:multiLevelType w:val="hybridMultilevel"/>
    <w:tmpl w:val="2470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2B2F95"/>
    <w:multiLevelType w:val="hybridMultilevel"/>
    <w:tmpl w:val="2BA0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02D1E"/>
    <w:multiLevelType w:val="hybridMultilevel"/>
    <w:tmpl w:val="3A38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F7089F"/>
    <w:multiLevelType w:val="hybridMultilevel"/>
    <w:tmpl w:val="F09C3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12F65"/>
    <w:multiLevelType w:val="hybridMultilevel"/>
    <w:tmpl w:val="0B26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F7A08"/>
    <w:multiLevelType w:val="hybridMultilevel"/>
    <w:tmpl w:val="BC66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0D5098"/>
    <w:multiLevelType w:val="hybridMultilevel"/>
    <w:tmpl w:val="7F9E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A77E8"/>
    <w:multiLevelType w:val="hybridMultilevel"/>
    <w:tmpl w:val="CB7CD698"/>
    <w:lvl w:ilvl="0" w:tplc="04090001">
      <w:start w:val="1"/>
      <w:numFmt w:val="bullet"/>
      <w:lvlText w:val=""/>
      <w:lvlJc w:val="left"/>
      <w:pPr>
        <w:tabs>
          <w:tab w:val="num" w:pos="720"/>
        </w:tabs>
        <w:ind w:left="720" w:hanging="360"/>
      </w:pPr>
      <w:rPr>
        <w:rFonts w:ascii="Symbol" w:hAnsi="Symbol" w:hint="default"/>
      </w:rPr>
    </w:lvl>
    <w:lvl w:ilvl="1" w:tplc="E1FE6CBC" w:tentative="1">
      <w:start w:val="1"/>
      <w:numFmt w:val="bullet"/>
      <w:lvlText w:val="•"/>
      <w:lvlJc w:val="left"/>
      <w:pPr>
        <w:tabs>
          <w:tab w:val="num" w:pos="1440"/>
        </w:tabs>
        <w:ind w:left="1440" w:hanging="360"/>
      </w:pPr>
      <w:rPr>
        <w:rFonts w:ascii="Arial" w:hAnsi="Arial" w:hint="default"/>
      </w:rPr>
    </w:lvl>
    <w:lvl w:ilvl="2" w:tplc="FE8E445A" w:tentative="1">
      <w:start w:val="1"/>
      <w:numFmt w:val="bullet"/>
      <w:lvlText w:val="•"/>
      <w:lvlJc w:val="left"/>
      <w:pPr>
        <w:tabs>
          <w:tab w:val="num" w:pos="2160"/>
        </w:tabs>
        <w:ind w:left="2160" w:hanging="360"/>
      </w:pPr>
      <w:rPr>
        <w:rFonts w:ascii="Arial" w:hAnsi="Arial" w:hint="default"/>
      </w:rPr>
    </w:lvl>
    <w:lvl w:ilvl="3" w:tplc="9A0C4E12" w:tentative="1">
      <w:start w:val="1"/>
      <w:numFmt w:val="bullet"/>
      <w:lvlText w:val="•"/>
      <w:lvlJc w:val="left"/>
      <w:pPr>
        <w:tabs>
          <w:tab w:val="num" w:pos="2880"/>
        </w:tabs>
        <w:ind w:left="2880" w:hanging="360"/>
      </w:pPr>
      <w:rPr>
        <w:rFonts w:ascii="Arial" w:hAnsi="Arial" w:hint="default"/>
      </w:rPr>
    </w:lvl>
    <w:lvl w:ilvl="4" w:tplc="5704A5DE" w:tentative="1">
      <w:start w:val="1"/>
      <w:numFmt w:val="bullet"/>
      <w:lvlText w:val="•"/>
      <w:lvlJc w:val="left"/>
      <w:pPr>
        <w:tabs>
          <w:tab w:val="num" w:pos="3600"/>
        </w:tabs>
        <w:ind w:left="3600" w:hanging="360"/>
      </w:pPr>
      <w:rPr>
        <w:rFonts w:ascii="Arial" w:hAnsi="Arial" w:hint="default"/>
      </w:rPr>
    </w:lvl>
    <w:lvl w:ilvl="5" w:tplc="C5BEAFE4" w:tentative="1">
      <w:start w:val="1"/>
      <w:numFmt w:val="bullet"/>
      <w:lvlText w:val="•"/>
      <w:lvlJc w:val="left"/>
      <w:pPr>
        <w:tabs>
          <w:tab w:val="num" w:pos="4320"/>
        </w:tabs>
        <w:ind w:left="4320" w:hanging="360"/>
      </w:pPr>
      <w:rPr>
        <w:rFonts w:ascii="Arial" w:hAnsi="Arial" w:hint="default"/>
      </w:rPr>
    </w:lvl>
    <w:lvl w:ilvl="6" w:tplc="48F8D3D2" w:tentative="1">
      <w:start w:val="1"/>
      <w:numFmt w:val="bullet"/>
      <w:lvlText w:val="•"/>
      <w:lvlJc w:val="left"/>
      <w:pPr>
        <w:tabs>
          <w:tab w:val="num" w:pos="5040"/>
        </w:tabs>
        <w:ind w:left="5040" w:hanging="360"/>
      </w:pPr>
      <w:rPr>
        <w:rFonts w:ascii="Arial" w:hAnsi="Arial" w:hint="default"/>
      </w:rPr>
    </w:lvl>
    <w:lvl w:ilvl="7" w:tplc="9E76BAEC" w:tentative="1">
      <w:start w:val="1"/>
      <w:numFmt w:val="bullet"/>
      <w:lvlText w:val="•"/>
      <w:lvlJc w:val="left"/>
      <w:pPr>
        <w:tabs>
          <w:tab w:val="num" w:pos="5760"/>
        </w:tabs>
        <w:ind w:left="5760" w:hanging="360"/>
      </w:pPr>
      <w:rPr>
        <w:rFonts w:ascii="Arial" w:hAnsi="Arial" w:hint="default"/>
      </w:rPr>
    </w:lvl>
    <w:lvl w:ilvl="8" w:tplc="7B00365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3B491E"/>
    <w:multiLevelType w:val="hybridMultilevel"/>
    <w:tmpl w:val="8CC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110E51"/>
    <w:multiLevelType w:val="hybridMultilevel"/>
    <w:tmpl w:val="EA30C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5A76FD"/>
    <w:multiLevelType w:val="hybridMultilevel"/>
    <w:tmpl w:val="119CC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1B6ABC"/>
    <w:multiLevelType w:val="hybridMultilevel"/>
    <w:tmpl w:val="18DE40D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1" w15:restartNumberingAfterBreak="0">
    <w:nsid w:val="7E6078C2"/>
    <w:multiLevelType w:val="hybridMultilevel"/>
    <w:tmpl w:val="16761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A70AFD"/>
    <w:multiLevelType w:val="hybridMultilevel"/>
    <w:tmpl w:val="A9A24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33"/>
  </w:num>
  <w:num w:numId="4">
    <w:abstractNumId w:val="40"/>
  </w:num>
  <w:num w:numId="5">
    <w:abstractNumId w:val="9"/>
  </w:num>
  <w:num w:numId="6">
    <w:abstractNumId w:val="11"/>
  </w:num>
  <w:num w:numId="7">
    <w:abstractNumId w:val="5"/>
  </w:num>
  <w:num w:numId="8">
    <w:abstractNumId w:val="16"/>
  </w:num>
  <w:num w:numId="9">
    <w:abstractNumId w:val="0"/>
  </w:num>
  <w:num w:numId="10">
    <w:abstractNumId w:val="21"/>
  </w:num>
  <w:num w:numId="11">
    <w:abstractNumId w:val="24"/>
  </w:num>
  <w:num w:numId="12">
    <w:abstractNumId w:val="30"/>
  </w:num>
  <w:num w:numId="13">
    <w:abstractNumId w:val="10"/>
  </w:num>
  <w:num w:numId="14">
    <w:abstractNumId w:val="12"/>
  </w:num>
  <w:num w:numId="15">
    <w:abstractNumId w:val="7"/>
  </w:num>
  <w:num w:numId="16">
    <w:abstractNumId w:val="26"/>
  </w:num>
  <w:num w:numId="17">
    <w:abstractNumId w:val="39"/>
  </w:num>
  <w:num w:numId="18">
    <w:abstractNumId w:val="34"/>
  </w:num>
  <w:num w:numId="19">
    <w:abstractNumId w:val="19"/>
  </w:num>
  <w:num w:numId="20">
    <w:abstractNumId w:val="22"/>
  </w:num>
  <w:num w:numId="21">
    <w:abstractNumId w:val="4"/>
  </w:num>
  <w:num w:numId="22">
    <w:abstractNumId w:val="23"/>
  </w:num>
  <w:num w:numId="23">
    <w:abstractNumId w:val="18"/>
  </w:num>
  <w:num w:numId="24">
    <w:abstractNumId w:val="25"/>
  </w:num>
  <w:num w:numId="25">
    <w:abstractNumId w:val="13"/>
  </w:num>
  <w:num w:numId="26">
    <w:abstractNumId w:val="38"/>
  </w:num>
  <w:num w:numId="27">
    <w:abstractNumId w:val="42"/>
  </w:num>
  <w:num w:numId="28">
    <w:abstractNumId w:val="2"/>
  </w:num>
  <w:num w:numId="29">
    <w:abstractNumId w:val="36"/>
  </w:num>
  <w:num w:numId="30">
    <w:abstractNumId w:val="6"/>
  </w:num>
  <w:num w:numId="31">
    <w:abstractNumId w:val="20"/>
  </w:num>
  <w:num w:numId="32">
    <w:abstractNumId w:val="32"/>
  </w:num>
  <w:num w:numId="33">
    <w:abstractNumId w:val="31"/>
  </w:num>
  <w:num w:numId="34">
    <w:abstractNumId w:val="1"/>
  </w:num>
  <w:num w:numId="35">
    <w:abstractNumId w:val="35"/>
  </w:num>
  <w:num w:numId="36">
    <w:abstractNumId w:val="3"/>
  </w:num>
  <w:num w:numId="37">
    <w:abstractNumId w:val="8"/>
  </w:num>
  <w:num w:numId="38">
    <w:abstractNumId w:val="29"/>
  </w:num>
  <w:num w:numId="39">
    <w:abstractNumId w:val="41"/>
  </w:num>
  <w:num w:numId="40">
    <w:abstractNumId w:val="14"/>
  </w:num>
  <w:num w:numId="41">
    <w:abstractNumId w:val="17"/>
  </w:num>
  <w:num w:numId="42">
    <w:abstractNumId w:val="2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55"/>
    <w:rsid w:val="00001A2F"/>
    <w:rsid w:val="0001280A"/>
    <w:rsid w:val="00013736"/>
    <w:rsid w:val="00015763"/>
    <w:rsid w:val="000209C4"/>
    <w:rsid w:val="00027CEE"/>
    <w:rsid w:val="00050496"/>
    <w:rsid w:val="0005091B"/>
    <w:rsid w:val="00050C1A"/>
    <w:rsid w:val="00052B3B"/>
    <w:rsid w:val="0005483C"/>
    <w:rsid w:val="00063AB2"/>
    <w:rsid w:val="00091D18"/>
    <w:rsid w:val="00094259"/>
    <w:rsid w:val="000B6770"/>
    <w:rsid w:val="000B7995"/>
    <w:rsid w:val="000C7EA8"/>
    <w:rsid w:val="000D3DC8"/>
    <w:rsid w:val="000D5E2A"/>
    <w:rsid w:val="000E4F7B"/>
    <w:rsid w:val="000F3B9B"/>
    <w:rsid w:val="00102528"/>
    <w:rsid w:val="00102726"/>
    <w:rsid w:val="00104C49"/>
    <w:rsid w:val="00116312"/>
    <w:rsid w:val="001552A1"/>
    <w:rsid w:val="00155C35"/>
    <w:rsid w:val="0016050B"/>
    <w:rsid w:val="00165ECD"/>
    <w:rsid w:val="001779F5"/>
    <w:rsid w:val="00183970"/>
    <w:rsid w:val="00184C0B"/>
    <w:rsid w:val="001A569F"/>
    <w:rsid w:val="001B295B"/>
    <w:rsid w:val="001B5D71"/>
    <w:rsid w:val="001B7FDD"/>
    <w:rsid w:val="001C2546"/>
    <w:rsid w:val="001D2FF4"/>
    <w:rsid w:val="001D5FA3"/>
    <w:rsid w:val="001E1F6D"/>
    <w:rsid w:val="001E2907"/>
    <w:rsid w:val="001F0FDE"/>
    <w:rsid w:val="001F5AF2"/>
    <w:rsid w:val="002025FE"/>
    <w:rsid w:val="0020284C"/>
    <w:rsid w:val="00206EB1"/>
    <w:rsid w:val="00216652"/>
    <w:rsid w:val="00217288"/>
    <w:rsid w:val="00221AEA"/>
    <w:rsid w:val="00222327"/>
    <w:rsid w:val="00232093"/>
    <w:rsid w:val="00235860"/>
    <w:rsid w:val="00235CB9"/>
    <w:rsid w:val="00252479"/>
    <w:rsid w:val="00257E77"/>
    <w:rsid w:val="00264BA5"/>
    <w:rsid w:val="00264C87"/>
    <w:rsid w:val="00272ED5"/>
    <w:rsid w:val="00276328"/>
    <w:rsid w:val="00294F59"/>
    <w:rsid w:val="002A32A8"/>
    <w:rsid w:val="002B3077"/>
    <w:rsid w:val="002B5F77"/>
    <w:rsid w:val="002C19CD"/>
    <w:rsid w:val="002E3FF7"/>
    <w:rsid w:val="002F60D6"/>
    <w:rsid w:val="0031230A"/>
    <w:rsid w:val="00323CC2"/>
    <w:rsid w:val="00326199"/>
    <w:rsid w:val="00342D27"/>
    <w:rsid w:val="00343EA1"/>
    <w:rsid w:val="00354BD5"/>
    <w:rsid w:val="00364D14"/>
    <w:rsid w:val="00365D77"/>
    <w:rsid w:val="003A30E9"/>
    <w:rsid w:val="003A7782"/>
    <w:rsid w:val="003C14F5"/>
    <w:rsid w:val="003C7D89"/>
    <w:rsid w:val="003D1BD7"/>
    <w:rsid w:val="003D786B"/>
    <w:rsid w:val="003E15CD"/>
    <w:rsid w:val="003E4E9C"/>
    <w:rsid w:val="003E7C07"/>
    <w:rsid w:val="00404FC5"/>
    <w:rsid w:val="004065A0"/>
    <w:rsid w:val="00414D24"/>
    <w:rsid w:val="00420F8F"/>
    <w:rsid w:val="00440196"/>
    <w:rsid w:val="00442FE8"/>
    <w:rsid w:val="004661DC"/>
    <w:rsid w:val="004752C8"/>
    <w:rsid w:val="004754CA"/>
    <w:rsid w:val="00475AC0"/>
    <w:rsid w:val="0049036F"/>
    <w:rsid w:val="00496AD7"/>
    <w:rsid w:val="004A36B3"/>
    <w:rsid w:val="004B0890"/>
    <w:rsid w:val="004B7010"/>
    <w:rsid w:val="004C3BA7"/>
    <w:rsid w:val="004C4B16"/>
    <w:rsid w:val="0050335B"/>
    <w:rsid w:val="0050460A"/>
    <w:rsid w:val="00521774"/>
    <w:rsid w:val="005245C4"/>
    <w:rsid w:val="00530A74"/>
    <w:rsid w:val="00535492"/>
    <w:rsid w:val="005524B1"/>
    <w:rsid w:val="00561930"/>
    <w:rsid w:val="00566968"/>
    <w:rsid w:val="005719A7"/>
    <w:rsid w:val="00573E05"/>
    <w:rsid w:val="00580E64"/>
    <w:rsid w:val="0058464A"/>
    <w:rsid w:val="00594BB1"/>
    <w:rsid w:val="00595C32"/>
    <w:rsid w:val="005A6A3C"/>
    <w:rsid w:val="005B5E0B"/>
    <w:rsid w:val="005C561F"/>
    <w:rsid w:val="005D380B"/>
    <w:rsid w:val="005E19FA"/>
    <w:rsid w:val="00601EEE"/>
    <w:rsid w:val="00605A61"/>
    <w:rsid w:val="00610557"/>
    <w:rsid w:val="00610640"/>
    <w:rsid w:val="00611D36"/>
    <w:rsid w:val="00621758"/>
    <w:rsid w:val="00621996"/>
    <w:rsid w:val="0062651B"/>
    <w:rsid w:val="00626748"/>
    <w:rsid w:val="00635DA9"/>
    <w:rsid w:val="00636F96"/>
    <w:rsid w:val="00667F5E"/>
    <w:rsid w:val="00671392"/>
    <w:rsid w:val="00677479"/>
    <w:rsid w:val="00677C2A"/>
    <w:rsid w:val="00682DDE"/>
    <w:rsid w:val="00686694"/>
    <w:rsid w:val="00687ED8"/>
    <w:rsid w:val="0069432F"/>
    <w:rsid w:val="006A4928"/>
    <w:rsid w:val="006A5C1A"/>
    <w:rsid w:val="006B3AB1"/>
    <w:rsid w:val="006D25EE"/>
    <w:rsid w:val="006E1526"/>
    <w:rsid w:val="006E3A31"/>
    <w:rsid w:val="006F3293"/>
    <w:rsid w:val="0070064A"/>
    <w:rsid w:val="00712CD9"/>
    <w:rsid w:val="007216FA"/>
    <w:rsid w:val="0073645A"/>
    <w:rsid w:val="00747E4B"/>
    <w:rsid w:val="0075698D"/>
    <w:rsid w:val="0076257C"/>
    <w:rsid w:val="00767182"/>
    <w:rsid w:val="00785F43"/>
    <w:rsid w:val="007931C7"/>
    <w:rsid w:val="007A1A98"/>
    <w:rsid w:val="007A2EC8"/>
    <w:rsid w:val="007A3D53"/>
    <w:rsid w:val="007B5F6F"/>
    <w:rsid w:val="007C03CC"/>
    <w:rsid w:val="007E1D11"/>
    <w:rsid w:val="007E2C9B"/>
    <w:rsid w:val="007E4124"/>
    <w:rsid w:val="007F033B"/>
    <w:rsid w:val="008003AB"/>
    <w:rsid w:val="008050BC"/>
    <w:rsid w:val="00812C4A"/>
    <w:rsid w:val="00814232"/>
    <w:rsid w:val="008158E8"/>
    <w:rsid w:val="00820630"/>
    <w:rsid w:val="008241A1"/>
    <w:rsid w:val="0083345E"/>
    <w:rsid w:val="008556BA"/>
    <w:rsid w:val="00856C55"/>
    <w:rsid w:val="008636FD"/>
    <w:rsid w:val="008660CA"/>
    <w:rsid w:val="00867B67"/>
    <w:rsid w:val="00873AF0"/>
    <w:rsid w:val="0087558F"/>
    <w:rsid w:val="008928B3"/>
    <w:rsid w:val="008A45C6"/>
    <w:rsid w:val="008B005E"/>
    <w:rsid w:val="008B3EB7"/>
    <w:rsid w:val="008B580D"/>
    <w:rsid w:val="008C06FE"/>
    <w:rsid w:val="008C79C5"/>
    <w:rsid w:val="008C7C60"/>
    <w:rsid w:val="008D1A8D"/>
    <w:rsid w:val="008D1CD4"/>
    <w:rsid w:val="008D7332"/>
    <w:rsid w:val="008D7530"/>
    <w:rsid w:val="008E08F8"/>
    <w:rsid w:val="008E7568"/>
    <w:rsid w:val="00900A6A"/>
    <w:rsid w:val="00927F18"/>
    <w:rsid w:val="009557B1"/>
    <w:rsid w:val="00956BEA"/>
    <w:rsid w:val="009641E6"/>
    <w:rsid w:val="00974D59"/>
    <w:rsid w:val="009B0B43"/>
    <w:rsid w:val="009B3366"/>
    <w:rsid w:val="009B362F"/>
    <w:rsid w:val="009C1DF7"/>
    <w:rsid w:val="009C595E"/>
    <w:rsid w:val="009D6915"/>
    <w:rsid w:val="009E05D6"/>
    <w:rsid w:val="009E3217"/>
    <w:rsid w:val="009E4C08"/>
    <w:rsid w:val="009F0E9B"/>
    <w:rsid w:val="009F1F17"/>
    <w:rsid w:val="00A05564"/>
    <w:rsid w:val="00A062FD"/>
    <w:rsid w:val="00A2691F"/>
    <w:rsid w:val="00A354EF"/>
    <w:rsid w:val="00A36635"/>
    <w:rsid w:val="00A37B48"/>
    <w:rsid w:val="00A407D1"/>
    <w:rsid w:val="00A66D20"/>
    <w:rsid w:val="00A72402"/>
    <w:rsid w:val="00A728FF"/>
    <w:rsid w:val="00A77B07"/>
    <w:rsid w:val="00A77CBA"/>
    <w:rsid w:val="00A92C5F"/>
    <w:rsid w:val="00AB1448"/>
    <w:rsid w:val="00AC07EC"/>
    <w:rsid w:val="00AD1D9F"/>
    <w:rsid w:val="00AF0320"/>
    <w:rsid w:val="00B03451"/>
    <w:rsid w:val="00B1367C"/>
    <w:rsid w:val="00B1760E"/>
    <w:rsid w:val="00B30C7B"/>
    <w:rsid w:val="00B475C2"/>
    <w:rsid w:val="00B53D5B"/>
    <w:rsid w:val="00B70048"/>
    <w:rsid w:val="00B71E3A"/>
    <w:rsid w:val="00B744C1"/>
    <w:rsid w:val="00B85D35"/>
    <w:rsid w:val="00BA49E7"/>
    <w:rsid w:val="00BB2759"/>
    <w:rsid w:val="00BD3B8F"/>
    <w:rsid w:val="00BD6A27"/>
    <w:rsid w:val="00C22D9B"/>
    <w:rsid w:val="00C22DCC"/>
    <w:rsid w:val="00C33A79"/>
    <w:rsid w:val="00C439A7"/>
    <w:rsid w:val="00C4617F"/>
    <w:rsid w:val="00C47533"/>
    <w:rsid w:val="00C5452C"/>
    <w:rsid w:val="00C66B01"/>
    <w:rsid w:val="00C75665"/>
    <w:rsid w:val="00C76A47"/>
    <w:rsid w:val="00C80F7E"/>
    <w:rsid w:val="00C812E2"/>
    <w:rsid w:val="00C854AD"/>
    <w:rsid w:val="00C86065"/>
    <w:rsid w:val="00C90ACE"/>
    <w:rsid w:val="00C91AEF"/>
    <w:rsid w:val="00CA517D"/>
    <w:rsid w:val="00CD1583"/>
    <w:rsid w:val="00CD415D"/>
    <w:rsid w:val="00CE2E07"/>
    <w:rsid w:val="00CE4C38"/>
    <w:rsid w:val="00CE6B8A"/>
    <w:rsid w:val="00CF0563"/>
    <w:rsid w:val="00CF10EC"/>
    <w:rsid w:val="00CF11CD"/>
    <w:rsid w:val="00D0435D"/>
    <w:rsid w:val="00D100CA"/>
    <w:rsid w:val="00D11BA2"/>
    <w:rsid w:val="00D12DDC"/>
    <w:rsid w:val="00D213F1"/>
    <w:rsid w:val="00D27DAD"/>
    <w:rsid w:val="00D42DF4"/>
    <w:rsid w:val="00D5284B"/>
    <w:rsid w:val="00D52FB7"/>
    <w:rsid w:val="00D53384"/>
    <w:rsid w:val="00D65295"/>
    <w:rsid w:val="00D7233C"/>
    <w:rsid w:val="00D82569"/>
    <w:rsid w:val="00D83C75"/>
    <w:rsid w:val="00D845A6"/>
    <w:rsid w:val="00DA24DB"/>
    <w:rsid w:val="00DB2EF2"/>
    <w:rsid w:val="00DB3E05"/>
    <w:rsid w:val="00DD472C"/>
    <w:rsid w:val="00DF1760"/>
    <w:rsid w:val="00E0082C"/>
    <w:rsid w:val="00E159ED"/>
    <w:rsid w:val="00E31DD4"/>
    <w:rsid w:val="00E46355"/>
    <w:rsid w:val="00E53305"/>
    <w:rsid w:val="00E55EB7"/>
    <w:rsid w:val="00E665DB"/>
    <w:rsid w:val="00E867E2"/>
    <w:rsid w:val="00E9652E"/>
    <w:rsid w:val="00EA6923"/>
    <w:rsid w:val="00EC371B"/>
    <w:rsid w:val="00EC747F"/>
    <w:rsid w:val="00ED3ECB"/>
    <w:rsid w:val="00EF1037"/>
    <w:rsid w:val="00EF3E28"/>
    <w:rsid w:val="00EF4FED"/>
    <w:rsid w:val="00F01587"/>
    <w:rsid w:val="00F13D0A"/>
    <w:rsid w:val="00F214E7"/>
    <w:rsid w:val="00F221CC"/>
    <w:rsid w:val="00F32362"/>
    <w:rsid w:val="00F323D7"/>
    <w:rsid w:val="00F4538B"/>
    <w:rsid w:val="00F5668B"/>
    <w:rsid w:val="00F67D7A"/>
    <w:rsid w:val="00F9218A"/>
    <w:rsid w:val="00F9580B"/>
    <w:rsid w:val="00F9661E"/>
    <w:rsid w:val="00FA3809"/>
    <w:rsid w:val="00FC5355"/>
    <w:rsid w:val="00FC55C4"/>
    <w:rsid w:val="00FD36AE"/>
    <w:rsid w:val="00FD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F401A0"/>
  <w15:docId w15:val="{F9D7D885-88C1-463E-B8BF-B4A7293B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2E2"/>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D3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2E2"/>
    <w:pPr>
      <w:keepNext/>
      <w:keepLines/>
      <w:spacing w:before="200" w:after="0"/>
      <w:outlineLvl w:val="2"/>
    </w:pPr>
    <w:rPr>
      <w:rFonts w:asciiTheme="majorHAnsi" w:eastAsiaTheme="majorEastAsia" w:hAnsiTheme="majorHAnsi" w:cstheme="majorBidi"/>
      <w:b/>
      <w:bCs/>
      <w:color w:val="4F81BD" w:themeColor="accen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C55"/>
    <w:pPr>
      <w:spacing w:before="100" w:beforeAutospacing="1" w:after="100" w:afterAutospacing="1" w:line="258" w:lineRule="atLeast"/>
    </w:pPr>
    <w:rPr>
      <w:rFonts w:ascii="Times New Roman" w:eastAsia="Times New Roman" w:hAnsi="Times New Roman" w:cs="Times New Roman"/>
      <w:sz w:val="24"/>
      <w:szCs w:val="24"/>
    </w:rPr>
  </w:style>
  <w:style w:type="paragraph" w:styleId="NoSpacing">
    <w:name w:val="No Spacing"/>
    <w:uiPriority w:val="1"/>
    <w:qFormat/>
    <w:rsid w:val="00856C55"/>
    <w:pPr>
      <w:spacing w:after="0" w:line="240" w:lineRule="auto"/>
    </w:pPr>
    <w:rPr>
      <w:rFonts w:ascii="Calibri" w:eastAsia="Calibri" w:hAnsi="Calibri" w:cs="Times New Roman"/>
    </w:rPr>
  </w:style>
  <w:style w:type="paragraph" w:styleId="ListParagraph">
    <w:name w:val="List Paragraph"/>
    <w:basedOn w:val="Normal"/>
    <w:uiPriority w:val="34"/>
    <w:qFormat/>
    <w:rsid w:val="0050335B"/>
    <w:pPr>
      <w:ind w:left="720"/>
      <w:contextualSpacing/>
    </w:pPr>
  </w:style>
  <w:style w:type="character" w:styleId="Hyperlink">
    <w:name w:val="Hyperlink"/>
    <w:basedOn w:val="DefaultParagraphFont"/>
    <w:uiPriority w:val="99"/>
    <w:unhideWhenUsed/>
    <w:rsid w:val="0050335B"/>
    <w:rPr>
      <w:color w:val="0000FF" w:themeColor="hyperlink"/>
      <w:u w:val="single"/>
    </w:rPr>
  </w:style>
  <w:style w:type="paragraph" w:styleId="EndnoteText">
    <w:name w:val="endnote text"/>
    <w:basedOn w:val="Normal"/>
    <w:link w:val="EndnoteTextChar"/>
    <w:uiPriority w:val="99"/>
    <w:semiHidden/>
    <w:unhideWhenUsed/>
    <w:rsid w:val="005033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35B"/>
    <w:rPr>
      <w:sz w:val="20"/>
      <w:szCs w:val="20"/>
    </w:rPr>
  </w:style>
  <w:style w:type="character" w:styleId="EndnoteReference">
    <w:name w:val="endnote reference"/>
    <w:basedOn w:val="DefaultParagraphFont"/>
    <w:uiPriority w:val="99"/>
    <w:semiHidden/>
    <w:unhideWhenUsed/>
    <w:rsid w:val="0050335B"/>
    <w:rPr>
      <w:vertAlign w:val="superscript"/>
    </w:rPr>
  </w:style>
  <w:style w:type="character" w:styleId="CommentReference">
    <w:name w:val="annotation reference"/>
    <w:basedOn w:val="DefaultParagraphFont"/>
    <w:uiPriority w:val="99"/>
    <w:semiHidden/>
    <w:unhideWhenUsed/>
    <w:rsid w:val="0050335B"/>
    <w:rPr>
      <w:sz w:val="16"/>
      <w:szCs w:val="16"/>
    </w:rPr>
  </w:style>
  <w:style w:type="paragraph" w:styleId="CommentText">
    <w:name w:val="annotation text"/>
    <w:basedOn w:val="Normal"/>
    <w:link w:val="CommentTextChar"/>
    <w:semiHidden/>
    <w:unhideWhenUsed/>
    <w:rsid w:val="0050335B"/>
    <w:pPr>
      <w:spacing w:line="240" w:lineRule="auto"/>
    </w:pPr>
    <w:rPr>
      <w:sz w:val="20"/>
      <w:szCs w:val="20"/>
    </w:rPr>
  </w:style>
  <w:style w:type="character" w:customStyle="1" w:styleId="CommentTextChar">
    <w:name w:val="Comment Text Char"/>
    <w:basedOn w:val="DefaultParagraphFont"/>
    <w:link w:val="CommentText"/>
    <w:semiHidden/>
    <w:rsid w:val="0050335B"/>
    <w:rPr>
      <w:sz w:val="20"/>
      <w:szCs w:val="20"/>
    </w:rPr>
  </w:style>
  <w:style w:type="paragraph" w:styleId="CommentSubject">
    <w:name w:val="annotation subject"/>
    <w:basedOn w:val="CommentText"/>
    <w:next w:val="CommentText"/>
    <w:link w:val="CommentSubjectChar"/>
    <w:uiPriority w:val="99"/>
    <w:semiHidden/>
    <w:unhideWhenUsed/>
    <w:rsid w:val="0050335B"/>
    <w:rPr>
      <w:b/>
      <w:bCs/>
    </w:rPr>
  </w:style>
  <w:style w:type="character" w:customStyle="1" w:styleId="CommentSubjectChar">
    <w:name w:val="Comment Subject Char"/>
    <w:basedOn w:val="CommentTextChar"/>
    <w:link w:val="CommentSubject"/>
    <w:uiPriority w:val="99"/>
    <w:semiHidden/>
    <w:rsid w:val="0050335B"/>
    <w:rPr>
      <w:b/>
      <w:bCs/>
      <w:sz w:val="20"/>
      <w:szCs w:val="20"/>
    </w:rPr>
  </w:style>
  <w:style w:type="paragraph" w:styleId="BalloonText">
    <w:name w:val="Balloon Text"/>
    <w:basedOn w:val="Normal"/>
    <w:link w:val="BalloonTextChar"/>
    <w:uiPriority w:val="99"/>
    <w:semiHidden/>
    <w:unhideWhenUsed/>
    <w:rsid w:val="0050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5B"/>
    <w:rPr>
      <w:rFonts w:ascii="Tahoma" w:hAnsi="Tahoma" w:cs="Tahoma"/>
      <w:sz w:val="16"/>
      <w:szCs w:val="16"/>
    </w:rPr>
  </w:style>
  <w:style w:type="character" w:styleId="FollowedHyperlink">
    <w:name w:val="FollowedHyperlink"/>
    <w:basedOn w:val="DefaultParagraphFont"/>
    <w:uiPriority w:val="99"/>
    <w:semiHidden/>
    <w:unhideWhenUsed/>
    <w:rsid w:val="00CE4C38"/>
    <w:rPr>
      <w:color w:val="800080" w:themeColor="followedHyperlink"/>
      <w:u w:val="single"/>
    </w:rPr>
  </w:style>
  <w:style w:type="paragraph" w:styleId="Header">
    <w:name w:val="header"/>
    <w:basedOn w:val="Normal"/>
    <w:link w:val="HeaderChar"/>
    <w:uiPriority w:val="99"/>
    <w:unhideWhenUsed/>
    <w:rsid w:val="00466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DC"/>
  </w:style>
  <w:style w:type="paragraph" w:styleId="Footer">
    <w:name w:val="footer"/>
    <w:basedOn w:val="Normal"/>
    <w:link w:val="FooterChar"/>
    <w:uiPriority w:val="99"/>
    <w:unhideWhenUsed/>
    <w:rsid w:val="00466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1DC"/>
  </w:style>
  <w:style w:type="table" w:styleId="MediumGrid3-Accent5">
    <w:name w:val="Medium Grid 3 Accent 5"/>
    <w:basedOn w:val="TableNormal"/>
    <w:uiPriority w:val="69"/>
    <w:rsid w:val="009C59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rsid w:val="00EF4F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812E2"/>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FD36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2E2"/>
    <w:rPr>
      <w:rFonts w:asciiTheme="majorHAnsi" w:eastAsiaTheme="majorEastAsia" w:hAnsiTheme="majorHAnsi" w:cstheme="majorBidi"/>
      <w:b/>
      <w:bCs/>
      <w:color w:val="4F81BD" w:themeColor="accent1"/>
      <w:sz w:val="24"/>
      <w:u w:val="single"/>
    </w:rPr>
  </w:style>
  <w:style w:type="paragraph" w:styleId="Revision">
    <w:name w:val="Revision"/>
    <w:hidden/>
    <w:uiPriority w:val="99"/>
    <w:semiHidden/>
    <w:rsid w:val="00C81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38880">
      <w:bodyDiv w:val="1"/>
      <w:marLeft w:val="0"/>
      <w:marRight w:val="0"/>
      <w:marTop w:val="0"/>
      <w:marBottom w:val="0"/>
      <w:divBdr>
        <w:top w:val="none" w:sz="0" w:space="0" w:color="auto"/>
        <w:left w:val="none" w:sz="0" w:space="0" w:color="auto"/>
        <w:bottom w:val="none" w:sz="0" w:space="0" w:color="auto"/>
        <w:right w:val="none" w:sz="0" w:space="0" w:color="auto"/>
      </w:divBdr>
      <w:divsChild>
        <w:div w:id="1621957637">
          <w:marLeft w:val="547"/>
          <w:marRight w:val="0"/>
          <w:marTop w:val="115"/>
          <w:marBottom w:val="0"/>
          <w:divBdr>
            <w:top w:val="none" w:sz="0" w:space="0" w:color="auto"/>
            <w:left w:val="none" w:sz="0" w:space="0" w:color="auto"/>
            <w:bottom w:val="none" w:sz="0" w:space="0" w:color="auto"/>
            <w:right w:val="none" w:sz="0" w:space="0" w:color="auto"/>
          </w:divBdr>
        </w:div>
        <w:div w:id="901333711">
          <w:marLeft w:val="547"/>
          <w:marRight w:val="0"/>
          <w:marTop w:val="115"/>
          <w:marBottom w:val="0"/>
          <w:divBdr>
            <w:top w:val="none" w:sz="0" w:space="0" w:color="auto"/>
            <w:left w:val="none" w:sz="0" w:space="0" w:color="auto"/>
            <w:bottom w:val="none" w:sz="0" w:space="0" w:color="auto"/>
            <w:right w:val="none" w:sz="0" w:space="0" w:color="auto"/>
          </w:divBdr>
        </w:div>
        <w:div w:id="742993761">
          <w:marLeft w:val="547"/>
          <w:marRight w:val="0"/>
          <w:marTop w:val="115"/>
          <w:marBottom w:val="0"/>
          <w:divBdr>
            <w:top w:val="none" w:sz="0" w:space="0" w:color="auto"/>
            <w:left w:val="none" w:sz="0" w:space="0" w:color="auto"/>
            <w:bottom w:val="none" w:sz="0" w:space="0" w:color="auto"/>
            <w:right w:val="none" w:sz="0" w:space="0" w:color="auto"/>
          </w:divBdr>
        </w:div>
        <w:div w:id="1076904378">
          <w:marLeft w:val="547"/>
          <w:marRight w:val="0"/>
          <w:marTop w:val="115"/>
          <w:marBottom w:val="0"/>
          <w:divBdr>
            <w:top w:val="none" w:sz="0" w:space="0" w:color="auto"/>
            <w:left w:val="none" w:sz="0" w:space="0" w:color="auto"/>
            <w:bottom w:val="none" w:sz="0" w:space="0" w:color="auto"/>
            <w:right w:val="none" w:sz="0" w:space="0" w:color="auto"/>
          </w:divBdr>
        </w:div>
      </w:divsChild>
    </w:div>
    <w:div w:id="1153259852">
      <w:bodyDiv w:val="1"/>
      <w:marLeft w:val="0"/>
      <w:marRight w:val="0"/>
      <w:marTop w:val="0"/>
      <w:marBottom w:val="0"/>
      <w:divBdr>
        <w:top w:val="none" w:sz="0" w:space="0" w:color="auto"/>
        <w:left w:val="none" w:sz="0" w:space="0" w:color="auto"/>
        <w:bottom w:val="none" w:sz="0" w:space="0" w:color="auto"/>
        <w:right w:val="none" w:sz="0" w:space="0" w:color="auto"/>
      </w:divBdr>
    </w:div>
    <w:div w:id="20056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4F38-3BC8-4431-9459-36E3ECBE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ebriggs</dc:creator>
  <cp:lastModifiedBy>Ian Goldstein</cp:lastModifiedBy>
  <cp:revision>10</cp:revision>
  <cp:lastPrinted>2016-02-18T21:17:00Z</cp:lastPrinted>
  <dcterms:created xsi:type="dcterms:W3CDTF">2017-04-17T18:56:00Z</dcterms:created>
  <dcterms:modified xsi:type="dcterms:W3CDTF">2017-05-31T20:41:00Z</dcterms:modified>
</cp:coreProperties>
</file>